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5789A" w14:textId="2B121C4C" w:rsidR="00A06D1D" w:rsidRPr="000C3B07" w:rsidRDefault="00A06D1D" w:rsidP="004624F5">
      <w:pPr>
        <w:pStyle w:val="Heading1"/>
      </w:pPr>
      <w:r w:rsidRPr="000C3B07">
        <w:t>Annual report 2024</w:t>
      </w:r>
      <w:r w:rsidR="004624F5">
        <w:t>–</w:t>
      </w:r>
      <w:r w:rsidRPr="000C3B07">
        <w:t>25</w:t>
      </w:r>
    </w:p>
    <w:p w14:paraId="1B65A518" w14:textId="77777777" w:rsidR="00764D6A" w:rsidRDefault="00E91D72">
      <w:pPr>
        <w:pStyle w:val="Normalsmall"/>
      </w:pPr>
      <w:r>
        <w:br w:type="page"/>
      </w:r>
      <w:r>
        <w:lastRenderedPageBreak/>
        <w:t xml:space="preserve">© Commonwealth of Australia </w:t>
      </w:r>
      <w:r w:rsidR="00B97E61">
        <w:t>202</w:t>
      </w:r>
      <w:r w:rsidR="00534C0B">
        <w:t>5</w:t>
      </w:r>
    </w:p>
    <w:p w14:paraId="257B4EF4" w14:textId="77777777" w:rsidR="00764D6A" w:rsidRDefault="00E91D72">
      <w:pPr>
        <w:pStyle w:val="Normalsmall"/>
        <w:rPr>
          <w:rStyle w:val="Strong"/>
        </w:rPr>
      </w:pPr>
      <w:r>
        <w:rPr>
          <w:rStyle w:val="Strong"/>
        </w:rPr>
        <w:t>Ownership of intellectual property rights</w:t>
      </w:r>
    </w:p>
    <w:p w14:paraId="0690BA31"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9438B37" w14:textId="77777777" w:rsidR="00764D6A" w:rsidRDefault="00E91D72">
      <w:pPr>
        <w:pStyle w:val="Normalsmall"/>
        <w:rPr>
          <w:rStyle w:val="Strong"/>
        </w:rPr>
      </w:pPr>
      <w:r>
        <w:rPr>
          <w:rStyle w:val="Strong"/>
        </w:rPr>
        <w:t>Creative Commons licence</w:t>
      </w:r>
    </w:p>
    <w:p w14:paraId="2F40BDA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1B7C50B" w14:textId="77777777" w:rsidR="00764D6A" w:rsidRPr="00364A4A" w:rsidRDefault="00E91D72">
      <w:pPr>
        <w:pStyle w:val="Normalsmall"/>
      </w:pPr>
      <w:r w:rsidRPr="00364A4A">
        <w:rPr>
          <w:noProof/>
          <w:lang w:eastAsia="en-AU"/>
        </w:rPr>
        <w:drawing>
          <wp:inline distT="0" distB="0" distL="0" distR="0" wp14:anchorId="41DBF5A1" wp14:editId="2E6AEDEB">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20F24FD" w14:textId="77777777" w:rsidR="00764D6A" w:rsidRPr="00364A4A" w:rsidRDefault="00E91D72">
      <w:pPr>
        <w:pStyle w:val="Normalsmall"/>
        <w:rPr>
          <w:rStyle w:val="Strong"/>
        </w:rPr>
      </w:pPr>
      <w:r w:rsidRPr="00364A4A">
        <w:rPr>
          <w:rStyle w:val="Strong"/>
        </w:rPr>
        <w:t>Cataloguing data</w:t>
      </w:r>
    </w:p>
    <w:p w14:paraId="1F41F38B" w14:textId="1AFACC44" w:rsidR="005B0882" w:rsidRDefault="00A06D1D" w:rsidP="00A06D1D">
      <w:pPr>
        <w:pStyle w:val="Normalsmall"/>
      </w:pPr>
      <w:r w:rsidRPr="00364A4A">
        <w:t xml:space="preserve">This publication (and any material sourced from it) should be attributed as: </w:t>
      </w:r>
      <w:r w:rsidRPr="00006F92">
        <w:t xml:space="preserve">IGAWLAE 2025, </w:t>
      </w:r>
      <w:r w:rsidRPr="0029455C">
        <w:rPr>
          <w:rStyle w:val="Emphasis"/>
        </w:rPr>
        <w:t xml:space="preserve">Annual </w:t>
      </w:r>
      <w:r w:rsidRPr="00630061">
        <w:rPr>
          <w:rStyle w:val="Emphasis"/>
        </w:rPr>
        <w:t>report 2024</w:t>
      </w:r>
      <w:r w:rsidR="00EB598A" w:rsidRPr="00630061">
        <w:rPr>
          <w:rStyle w:val="Emphasis"/>
        </w:rPr>
        <w:t>–</w:t>
      </w:r>
      <w:r w:rsidRPr="00630061">
        <w:rPr>
          <w:rStyle w:val="Emphasis"/>
        </w:rPr>
        <w:t>25</w:t>
      </w:r>
      <w:r w:rsidRPr="00630061">
        <w:t>,</w:t>
      </w:r>
      <w:r w:rsidRPr="00006F92">
        <w:t xml:space="preserve"> Inspector-General of Animal Welfare and Live Animal Exports, Canberra</w:t>
      </w:r>
      <w:r w:rsidR="005B0882">
        <w:t>.</w:t>
      </w:r>
    </w:p>
    <w:p w14:paraId="3EBB4EB2" w14:textId="183FD02D" w:rsidR="00A06D1D" w:rsidRDefault="00A06D1D" w:rsidP="00A06D1D">
      <w:pPr>
        <w:pStyle w:val="Normalsmall"/>
      </w:pPr>
      <w:r>
        <w:t xml:space="preserve">This </w:t>
      </w:r>
      <w:r w:rsidRPr="00364A4A">
        <w:t xml:space="preserve">publication is available </w:t>
      </w:r>
      <w:r w:rsidRPr="00630061">
        <w:t>at</w:t>
      </w:r>
      <w:r w:rsidR="006C4BC9" w:rsidRPr="00630061">
        <w:t xml:space="preserve"> </w:t>
      </w:r>
      <w:hyperlink r:id="rId13" w:history="1">
        <w:r w:rsidR="00EB598A" w:rsidRPr="00630061">
          <w:rPr>
            <w:rStyle w:val="Hyperlink"/>
          </w:rPr>
          <w:t>igawlae.gov.au/annual-reports</w:t>
        </w:r>
      </w:hyperlink>
      <w:r w:rsidR="00EB598A" w:rsidRPr="00630061">
        <w:t>.</w:t>
      </w:r>
    </w:p>
    <w:p w14:paraId="65320679" w14:textId="77777777" w:rsidR="00C42485" w:rsidRDefault="00C42485">
      <w:pPr>
        <w:pStyle w:val="Normalsmall"/>
        <w:spacing w:after="0"/>
      </w:pPr>
      <w:r w:rsidRPr="00C42485">
        <w:t>Inspector-General of Animal Welfare and Live Animal Exports</w:t>
      </w:r>
    </w:p>
    <w:p w14:paraId="4B2F3569" w14:textId="77777777" w:rsidR="00DE0AAE" w:rsidRDefault="00DE0AAE">
      <w:pPr>
        <w:pStyle w:val="Normalsmall"/>
        <w:spacing w:after="0"/>
      </w:pPr>
      <w:r w:rsidRPr="00DE0AAE">
        <w:t>Department of Agriculture, Fisheries and Forestry</w:t>
      </w:r>
    </w:p>
    <w:p w14:paraId="6D20D4BC" w14:textId="77777777" w:rsidR="00764D6A" w:rsidRPr="00364A4A" w:rsidRDefault="00E91D72">
      <w:pPr>
        <w:pStyle w:val="Normalsmall"/>
        <w:spacing w:after="0"/>
      </w:pPr>
      <w:r w:rsidRPr="00364A4A">
        <w:t>GPO Box 858 Canberra ACT 2601</w:t>
      </w:r>
    </w:p>
    <w:p w14:paraId="1F8E171A" w14:textId="77777777" w:rsidR="00764D6A" w:rsidRPr="00364A4A" w:rsidRDefault="00E91D72">
      <w:pPr>
        <w:pStyle w:val="Normalsmall"/>
        <w:spacing w:after="0"/>
      </w:pPr>
      <w:r w:rsidRPr="00364A4A">
        <w:t>Telephone 1800 900 090</w:t>
      </w:r>
    </w:p>
    <w:p w14:paraId="2918FC04"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E88E870" w14:textId="77777777" w:rsidR="007C358A" w:rsidRDefault="007C358A">
      <w:pPr>
        <w:pStyle w:val="Normalsmall"/>
      </w:pPr>
      <w:r w:rsidRPr="00364A4A">
        <w:rPr>
          <w:rStyle w:val="Strong"/>
        </w:rPr>
        <w:t>Disclaimer</w:t>
      </w:r>
    </w:p>
    <w:p w14:paraId="2549F95D" w14:textId="1CA84551" w:rsidR="00764D6A" w:rsidRDefault="00E91D72">
      <w:pPr>
        <w:pStyle w:val="Normalsmall"/>
      </w:pPr>
      <w:r>
        <w:t xml:space="preserve">The Australian Government acting through </w:t>
      </w:r>
      <w:r w:rsidR="00A06D1D" w:rsidRPr="00006F92">
        <w:t>the Inspector-General of Animal Welfare and Live Animal Exports</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280635F" w14:textId="77777777" w:rsidR="00A06D1D" w:rsidRPr="00006F92" w:rsidRDefault="00A06D1D" w:rsidP="00A06D1D">
      <w:pPr>
        <w:pStyle w:val="Normalsmall"/>
        <w:rPr>
          <w:rStyle w:val="Strong"/>
        </w:rPr>
      </w:pPr>
      <w:r w:rsidRPr="00006F92">
        <w:rPr>
          <w:rStyle w:val="Strong"/>
        </w:rPr>
        <w:t>Acknowledgements</w:t>
      </w:r>
    </w:p>
    <w:p w14:paraId="2271184B" w14:textId="6D685CB7" w:rsidR="00A06D1D" w:rsidRDefault="00A06D1D" w:rsidP="00A06D1D">
      <w:pPr>
        <w:pStyle w:val="Normalsmall"/>
      </w:pPr>
      <w:r w:rsidRPr="00006F92">
        <w:t xml:space="preserve">The </w:t>
      </w:r>
      <w:r w:rsidR="00630061" w:rsidRPr="00630061">
        <w:t>I</w:t>
      </w:r>
      <w:r w:rsidRPr="00630061">
        <w:t>nspector-</w:t>
      </w:r>
      <w:r w:rsidR="00630061" w:rsidRPr="00630061">
        <w:t>G</w:t>
      </w:r>
      <w:r w:rsidRPr="00630061">
        <w:t>eneral thanks</w:t>
      </w:r>
      <w:r w:rsidRPr="00006F92">
        <w:t xml:space="preserve"> the Department of Agriculture, Fisheries and Forestry and the Office of the Inspector-General of Animal Welfare and Live Animal Exports for their assistance in preparing this report.</w:t>
      </w:r>
    </w:p>
    <w:p w14:paraId="7E235062" w14:textId="77777777" w:rsidR="00B02B9B" w:rsidRDefault="00B02B9B" w:rsidP="00B02B9B">
      <w:pPr>
        <w:pStyle w:val="Normalsmall"/>
      </w:pPr>
      <w:r>
        <w:rPr>
          <w:rStyle w:val="Strong"/>
        </w:rPr>
        <w:t>Acknowledgement of Country</w:t>
      </w:r>
    </w:p>
    <w:p w14:paraId="2BCFAAFA" w14:textId="05D2FCC8" w:rsidR="0000088C" w:rsidRDefault="00582E76" w:rsidP="00432172">
      <w:pPr>
        <w:pStyle w:val="Normalsmall"/>
      </w:pPr>
      <w:r w:rsidRPr="00582E76">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r w:rsidR="0000088C">
        <w:br w:type="page"/>
      </w:r>
    </w:p>
    <w:bookmarkStart w:id="0" w:name="_Toc430782148" w:displacedByCustomXml="next"/>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00B3C063" w14:textId="350AE1AC" w:rsidR="0000088C" w:rsidRDefault="0000088C" w:rsidP="0000088C">
          <w:pPr>
            <w:pStyle w:val="TOCHeading"/>
          </w:pPr>
          <w:r>
            <w:t>Content</w:t>
          </w:r>
          <w:r w:rsidRPr="0029455C">
            <w:t>s</w:t>
          </w:r>
        </w:p>
        <w:p w14:paraId="161B411D" w14:textId="58FB24EA" w:rsidR="00DD0422" w:rsidRDefault="0000088C">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6400963" w:history="1">
            <w:r w:rsidR="00DD0422" w:rsidRPr="00501049">
              <w:rPr>
                <w:rStyle w:val="Hyperlink"/>
              </w:rPr>
              <w:t>Letter of transmittal</w:t>
            </w:r>
            <w:r w:rsidR="00DD0422">
              <w:rPr>
                <w:webHidden/>
              </w:rPr>
              <w:tab/>
            </w:r>
            <w:r w:rsidR="00DD0422">
              <w:rPr>
                <w:webHidden/>
              </w:rPr>
              <w:fldChar w:fldCharType="begin"/>
            </w:r>
            <w:r w:rsidR="00DD0422">
              <w:rPr>
                <w:webHidden/>
              </w:rPr>
              <w:instrText xml:space="preserve"> PAGEREF _Toc206400963 \h </w:instrText>
            </w:r>
            <w:r w:rsidR="00DD0422">
              <w:rPr>
                <w:webHidden/>
              </w:rPr>
            </w:r>
            <w:r w:rsidR="00DD0422">
              <w:rPr>
                <w:webHidden/>
              </w:rPr>
              <w:fldChar w:fldCharType="separate"/>
            </w:r>
            <w:r w:rsidR="00DD0422">
              <w:rPr>
                <w:webHidden/>
              </w:rPr>
              <w:t>iv</w:t>
            </w:r>
            <w:r w:rsidR="00DD0422">
              <w:rPr>
                <w:webHidden/>
              </w:rPr>
              <w:fldChar w:fldCharType="end"/>
            </w:r>
          </w:hyperlink>
        </w:p>
        <w:p w14:paraId="2E9DB959" w14:textId="3AA4818C" w:rsidR="00DD0422" w:rsidRDefault="00DD0422">
          <w:pPr>
            <w:pStyle w:val="TOC1"/>
            <w:rPr>
              <w:rFonts w:eastAsiaTheme="minorEastAsia"/>
              <w:b w:val="0"/>
              <w:kern w:val="2"/>
              <w:sz w:val="24"/>
              <w:szCs w:val="24"/>
              <w:lang w:eastAsia="en-AU"/>
              <w14:ligatures w14:val="standardContextual"/>
            </w:rPr>
          </w:pPr>
          <w:hyperlink w:anchor="_Toc206400964" w:history="1">
            <w:r w:rsidRPr="00501049">
              <w:rPr>
                <w:rStyle w:val="Hyperlink"/>
              </w:rPr>
              <w:t>Year at a glance 2024–25</w:t>
            </w:r>
            <w:r>
              <w:rPr>
                <w:webHidden/>
              </w:rPr>
              <w:tab/>
            </w:r>
            <w:r>
              <w:rPr>
                <w:webHidden/>
              </w:rPr>
              <w:fldChar w:fldCharType="begin"/>
            </w:r>
            <w:r>
              <w:rPr>
                <w:webHidden/>
              </w:rPr>
              <w:instrText xml:space="preserve"> PAGEREF _Toc206400964 \h </w:instrText>
            </w:r>
            <w:r>
              <w:rPr>
                <w:webHidden/>
              </w:rPr>
            </w:r>
            <w:r>
              <w:rPr>
                <w:webHidden/>
              </w:rPr>
              <w:fldChar w:fldCharType="separate"/>
            </w:r>
            <w:r>
              <w:rPr>
                <w:webHidden/>
              </w:rPr>
              <w:t>v</w:t>
            </w:r>
            <w:r>
              <w:rPr>
                <w:webHidden/>
              </w:rPr>
              <w:fldChar w:fldCharType="end"/>
            </w:r>
          </w:hyperlink>
        </w:p>
        <w:p w14:paraId="73DC4D91" w14:textId="3A5585EE" w:rsidR="00DD0422" w:rsidRDefault="00DD0422">
          <w:pPr>
            <w:pStyle w:val="TOC1"/>
            <w:rPr>
              <w:rFonts w:eastAsiaTheme="minorEastAsia"/>
              <w:b w:val="0"/>
              <w:kern w:val="2"/>
              <w:sz w:val="24"/>
              <w:szCs w:val="24"/>
              <w:lang w:eastAsia="en-AU"/>
              <w14:ligatures w14:val="standardContextual"/>
            </w:rPr>
          </w:pPr>
          <w:hyperlink w:anchor="_Toc206400965" w:history="1">
            <w:r w:rsidRPr="00501049">
              <w:rPr>
                <w:rStyle w:val="Hyperlink"/>
              </w:rPr>
              <w:t>Inspector-General’s foreword</w:t>
            </w:r>
            <w:r>
              <w:rPr>
                <w:webHidden/>
              </w:rPr>
              <w:tab/>
            </w:r>
            <w:r>
              <w:rPr>
                <w:webHidden/>
              </w:rPr>
              <w:fldChar w:fldCharType="begin"/>
            </w:r>
            <w:r>
              <w:rPr>
                <w:webHidden/>
              </w:rPr>
              <w:instrText xml:space="preserve"> PAGEREF _Toc206400965 \h </w:instrText>
            </w:r>
            <w:r>
              <w:rPr>
                <w:webHidden/>
              </w:rPr>
            </w:r>
            <w:r>
              <w:rPr>
                <w:webHidden/>
              </w:rPr>
              <w:fldChar w:fldCharType="separate"/>
            </w:r>
            <w:r>
              <w:rPr>
                <w:webHidden/>
              </w:rPr>
              <w:t>vi</w:t>
            </w:r>
            <w:r>
              <w:rPr>
                <w:webHidden/>
              </w:rPr>
              <w:fldChar w:fldCharType="end"/>
            </w:r>
          </w:hyperlink>
        </w:p>
        <w:p w14:paraId="6598A364" w14:textId="5BE00E8C" w:rsidR="00DD0422" w:rsidRDefault="00DD0422">
          <w:pPr>
            <w:pStyle w:val="TOC2"/>
            <w:rPr>
              <w:rFonts w:eastAsiaTheme="minorEastAsia"/>
              <w:kern w:val="2"/>
              <w:sz w:val="24"/>
              <w:szCs w:val="24"/>
              <w:lang w:eastAsia="en-AU"/>
              <w14:ligatures w14:val="standardContextual"/>
            </w:rPr>
          </w:pPr>
          <w:hyperlink w:anchor="_Toc206400966" w:history="1">
            <w:r w:rsidRPr="00501049">
              <w:rPr>
                <w:rStyle w:val="Hyperlink"/>
                <w:lang w:eastAsia="ja-JP"/>
              </w:rPr>
              <w:t>Our achievements</w:t>
            </w:r>
            <w:r>
              <w:rPr>
                <w:webHidden/>
              </w:rPr>
              <w:tab/>
            </w:r>
            <w:r>
              <w:rPr>
                <w:webHidden/>
              </w:rPr>
              <w:fldChar w:fldCharType="begin"/>
            </w:r>
            <w:r>
              <w:rPr>
                <w:webHidden/>
              </w:rPr>
              <w:instrText xml:space="preserve"> PAGEREF _Toc206400966 \h </w:instrText>
            </w:r>
            <w:r>
              <w:rPr>
                <w:webHidden/>
              </w:rPr>
            </w:r>
            <w:r>
              <w:rPr>
                <w:webHidden/>
              </w:rPr>
              <w:fldChar w:fldCharType="separate"/>
            </w:r>
            <w:r>
              <w:rPr>
                <w:webHidden/>
              </w:rPr>
              <w:t>vi</w:t>
            </w:r>
            <w:r>
              <w:rPr>
                <w:webHidden/>
              </w:rPr>
              <w:fldChar w:fldCharType="end"/>
            </w:r>
          </w:hyperlink>
        </w:p>
        <w:p w14:paraId="2BC12CF0" w14:textId="7CC89413" w:rsidR="00DD0422" w:rsidRDefault="00DD0422">
          <w:pPr>
            <w:pStyle w:val="TOC2"/>
            <w:rPr>
              <w:rFonts w:eastAsiaTheme="minorEastAsia"/>
              <w:kern w:val="2"/>
              <w:sz w:val="24"/>
              <w:szCs w:val="24"/>
              <w:lang w:eastAsia="en-AU"/>
              <w14:ligatures w14:val="standardContextual"/>
            </w:rPr>
          </w:pPr>
          <w:hyperlink w:anchor="_Toc206400967" w:history="1">
            <w:r w:rsidRPr="00501049">
              <w:rPr>
                <w:rStyle w:val="Hyperlink"/>
                <w:lang w:eastAsia="ja-JP"/>
              </w:rPr>
              <w:t>Reviews</w:t>
            </w:r>
            <w:r>
              <w:rPr>
                <w:webHidden/>
              </w:rPr>
              <w:tab/>
            </w:r>
            <w:r>
              <w:rPr>
                <w:webHidden/>
              </w:rPr>
              <w:fldChar w:fldCharType="begin"/>
            </w:r>
            <w:r>
              <w:rPr>
                <w:webHidden/>
              </w:rPr>
              <w:instrText xml:space="preserve"> PAGEREF _Toc206400967 \h </w:instrText>
            </w:r>
            <w:r>
              <w:rPr>
                <w:webHidden/>
              </w:rPr>
            </w:r>
            <w:r>
              <w:rPr>
                <w:webHidden/>
              </w:rPr>
              <w:fldChar w:fldCharType="separate"/>
            </w:r>
            <w:r>
              <w:rPr>
                <w:webHidden/>
              </w:rPr>
              <w:t>vi</w:t>
            </w:r>
            <w:r>
              <w:rPr>
                <w:webHidden/>
              </w:rPr>
              <w:fldChar w:fldCharType="end"/>
            </w:r>
          </w:hyperlink>
        </w:p>
        <w:p w14:paraId="2CE5C576" w14:textId="4205C65F" w:rsidR="00DD0422" w:rsidRDefault="00DD0422">
          <w:pPr>
            <w:pStyle w:val="TOC2"/>
            <w:rPr>
              <w:rFonts w:eastAsiaTheme="minorEastAsia"/>
              <w:kern w:val="2"/>
              <w:sz w:val="24"/>
              <w:szCs w:val="24"/>
              <w:lang w:eastAsia="en-AU"/>
              <w14:ligatures w14:val="standardContextual"/>
            </w:rPr>
          </w:pPr>
          <w:hyperlink w:anchor="_Toc206400968" w:history="1">
            <w:r w:rsidRPr="00501049">
              <w:rPr>
                <w:rStyle w:val="Hyperlink"/>
                <w:lang w:eastAsia="ja-JP"/>
              </w:rPr>
              <w:t>Commencement of new Inspector-General</w:t>
            </w:r>
            <w:r>
              <w:rPr>
                <w:webHidden/>
              </w:rPr>
              <w:tab/>
            </w:r>
            <w:r>
              <w:rPr>
                <w:webHidden/>
              </w:rPr>
              <w:fldChar w:fldCharType="begin"/>
            </w:r>
            <w:r>
              <w:rPr>
                <w:webHidden/>
              </w:rPr>
              <w:instrText xml:space="preserve"> PAGEREF _Toc206400968 \h </w:instrText>
            </w:r>
            <w:r>
              <w:rPr>
                <w:webHidden/>
              </w:rPr>
            </w:r>
            <w:r>
              <w:rPr>
                <w:webHidden/>
              </w:rPr>
              <w:fldChar w:fldCharType="separate"/>
            </w:r>
            <w:r>
              <w:rPr>
                <w:webHidden/>
              </w:rPr>
              <w:t>vii</w:t>
            </w:r>
            <w:r>
              <w:rPr>
                <w:webHidden/>
              </w:rPr>
              <w:fldChar w:fldCharType="end"/>
            </w:r>
          </w:hyperlink>
        </w:p>
        <w:p w14:paraId="05D50448" w14:textId="4A98BD23" w:rsidR="00DD0422" w:rsidRDefault="00DD0422">
          <w:pPr>
            <w:pStyle w:val="TOC2"/>
            <w:rPr>
              <w:rFonts w:eastAsiaTheme="minorEastAsia"/>
              <w:kern w:val="2"/>
              <w:sz w:val="24"/>
              <w:szCs w:val="24"/>
              <w:lang w:eastAsia="en-AU"/>
              <w14:ligatures w14:val="standardContextual"/>
            </w:rPr>
          </w:pPr>
          <w:hyperlink w:anchor="_Toc206400969" w:history="1">
            <w:r w:rsidRPr="00501049">
              <w:rPr>
                <w:rStyle w:val="Hyperlink"/>
                <w:lang w:eastAsia="ja-JP"/>
              </w:rPr>
              <w:t>Work plan 2024–25</w:t>
            </w:r>
            <w:r>
              <w:rPr>
                <w:webHidden/>
              </w:rPr>
              <w:tab/>
            </w:r>
            <w:r>
              <w:rPr>
                <w:webHidden/>
              </w:rPr>
              <w:fldChar w:fldCharType="begin"/>
            </w:r>
            <w:r>
              <w:rPr>
                <w:webHidden/>
              </w:rPr>
              <w:instrText xml:space="preserve"> PAGEREF _Toc206400969 \h </w:instrText>
            </w:r>
            <w:r>
              <w:rPr>
                <w:webHidden/>
              </w:rPr>
            </w:r>
            <w:r>
              <w:rPr>
                <w:webHidden/>
              </w:rPr>
              <w:fldChar w:fldCharType="separate"/>
            </w:r>
            <w:r>
              <w:rPr>
                <w:webHidden/>
              </w:rPr>
              <w:t>vii</w:t>
            </w:r>
            <w:r>
              <w:rPr>
                <w:webHidden/>
              </w:rPr>
              <w:fldChar w:fldCharType="end"/>
            </w:r>
          </w:hyperlink>
        </w:p>
        <w:p w14:paraId="5811EB69" w14:textId="7A07A741" w:rsidR="00DD0422" w:rsidRDefault="00DD0422">
          <w:pPr>
            <w:pStyle w:val="TOC2"/>
            <w:rPr>
              <w:rFonts w:eastAsiaTheme="minorEastAsia"/>
              <w:kern w:val="2"/>
              <w:sz w:val="24"/>
              <w:szCs w:val="24"/>
              <w:lang w:eastAsia="en-AU"/>
              <w14:ligatures w14:val="standardContextual"/>
            </w:rPr>
          </w:pPr>
          <w:hyperlink w:anchor="_Toc206400970" w:history="1">
            <w:r w:rsidRPr="00501049">
              <w:rPr>
                <w:rStyle w:val="Hyperlink"/>
                <w:lang w:eastAsia="ja-JP"/>
              </w:rPr>
              <w:t>Collaborations</w:t>
            </w:r>
            <w:r>
              <w:rPr>
                <w:webHidden/>
              </w:rPr>
              <w:tab/>
            </w:r>
            <w:r>
              <w:rPr>
                <w:webHidden/>
              </w:rPr>
              <w:fldChar w:fldCharType="begin"/>
            </w:r>
            <w:r>
              <w:rPr>
                <w:webHidden/>
              </w:rPr>
              <w:instrText xml:space="preserve"> PAGEREF _Toc206400970 \h </w:instrText>
            </w:r>
            <w:r>
              <w:rPr>
                <w:webHidden/>
              </w:rPr>
            </w:r>
            <w:r>
              <w:rPr>
                <w:webHidden/>
              </w:rPr>
              <w:fldChar w:fldCharType="separate"/>
            </w:r>
            <w:r>
              <w:rPr>
                <w:webHidden/>
              </w:rPr>
              <w:t>viii</w:t>
            </w:r>
            <w:r>
              <w:rPr>
                <w:webHidden/>
              </w:rPr>
              <w:fldChar w:fldCharType="end"/>
            </w:r>
          </w:hyperlink>
        </w:p>
        <w:p w14:paraId="42811042" w14:textId="5F124AF8" w:rsidR="00DD0422" w:rsidRDefault="00DD0422">
          <w:pPr>
            <w:pStyle w:val="TOC2"/>
            <w:rPr>
              <w:rFonts w:eastAsiaTheme="minorEastAsia"/>
              <w:kern w:val="2"/>
              <w:sz w:val="24"/>
              <w:szCs w:val="24"/>
              <w:lang w:eastAsia="en-AU"/>
              <w14:ligatures w14:val="standardContextual"/>
            </w:rPr>
          </w:pPr>
          <w:hyperlink w:anchor="_Toc206400971" w:history="1">
            <w:r w:rsidRPr="00501049">
              <w:rPr>
                <w:rStyle w:val="Hyperlink"/>
                <w:lang w:eastAsia="ja-JP"/>
              </w:rPr>
              <w:t>Memorandum of understanding</w:t>
            </w:r>
            <w:r>
              <w:rPr>
                <w:webHidden/>
              </w:rPr>
              <w:tab/>
            </w:r>
            <w:r>
              <w:rPr>
                <w:webHidden/>
              </w:rPr>
              <w:fldChar w:fldCharType="begin"/>
            </w:r>
            <w:r>
              <w:rPr>
                <w:webHidden/>
              </w:rPr>
              <w:instrText xml:space="preserve"> PAGEREF _Toc206400971 \h </w:instrText>
            </w:r>
            <w:r>
              <w:rPr>
                <w:webHidden/>
              </w:rPr>
            </w:r>
            <w:r>
              <w:rPr>
                <w:webHidden/>
              </w:rPr>
              <w:fldChar w:fldCharType="separate"/>
            </w:r>
            <w:r>
              <w:rPr>
                <w:webHidden/>
              </w:rPr>
              <w:t>viii</w:t>
            </w:r>
            <w:r>
              <w:rPr>
                <w:webHidden/>
              </w:rPr>
              <w:fldChar w:fldCharType="end"/>
            </w:r>
          </w:hyperlink>
        </w:p>
        <w:p w14:paraId="6C598A24" w14:textId="45C02881" w:rsidR="00DD0422" w:rsidRDefault="00DD0422">
          <w:pPr>
            <w:pStyle w:val="TOC2"/>
            <w:rPr>
              <w:rFonts w:eastAsiaTheme="minorEastAsia"/>
              <w:kern w:val="2"/>
              <w:sz w:val="24"/>
              <w:szCs w:val="24"/>
              <w:lang w:eastAsia="en-AU"/>
              <w14:ligatures w14:val="standardContextual"/>
            </w:rPr>
          </w:pPr>
          <w:hyperlink w:anchor="_Toc206400972" w:history="1">
            <w:r w:rsidRPr="00501049">
              <w:rPr>
                <w:rStyle w:val="Hyperlink"/>
                <w:lang w:eastAsia="ja-JP"/>
              </w:rPr>
              <w:t>Looking forward</w:t>
            </w:r>
            <w:r>
              <w:rPr>
                <w:webHidden/>
              </w:rPr>
              <w:tab/>
            </w:r>
            <w:r>
              <w:rPr>
                <w:webHidden/>
              </w:rPr>
              <w:fldChar w:fldCharType="begin"/>
            </w:r>
            <w:r>
              <w:rPr>
                <w:webHidden/>
              </w:rPr>
              <w:instrText xml:space="preserve"> PAGEREF _Toc206400972 \h </w:instrText>
            </w:r>
            <w:r>
              <w:rPr>
                <w:webHidden/>
              </w:rPr>
            </w:r>
            <w:r>
              <w:rPr>
                <w:webHidden/>
              </w:rPr>
              <w:fldChar w:fldCharType="separate"/>
            </w:r>
            <w:r>
              <w:rPr>
                <w:webHidden/>
              </w:rPr>
              <w:t>viii</w:t>
            </w:r>
            <w:r>
              <w:rPr>
                <w:webHidden/>
              </w:rPr>
              <w:fldChar w:fldCharType="end"/>
            </w:r>
          </w:hyperlink>
        </w:p>
        <w:p w14:paraId="421582EF" w14:textId="35421281" w:rsidR="00DD0422" w:rsidRDefault="00DD0422">
          <w:pPr>
            <w:pStyle w:val="TOC1"/>
            <w:rPr>
              <w:rFonts w:eastAsiaTheme="minorEastAsia"/>
              <w:b w:val="0"/>
              <w:kern w:val="2"/>
              <w:sz w:val="24"/>
              <w:szCs w:val="24"/>
              <w:lang w:eastAsia="en-AU"/>
              <w14:ligatures w14:val="standardContextual"/>
            </w:rPr>
          </w:pPr>
          <w:hyperlink w:anchor="_Toc206400973" w:history="1">
            <w:r w:rsidRPr="00501049">
              <w:rPr>
                <w:rStyle w:val="Hyperlink"/>
              </w:rPr>
              <w:t>Overview of livestock exports</w:t>
            </w:r>
            <w:r>
              <w:rPr>
                <w:webHidden/>
              </w:rPr>
              <w:tab/>
            </w:r>
            <w:r>
              <w:rPr>
                <w:webHidden/>
              </w:rPr>
              <w:fldChar w:fldCharType="begin"/>
            </w:r>
            <w:r>
              <w:rPr>
                <w:webHidden/>
              </w:rPr>
              <w:instrText xml:space="preserve"> PAGEREF _Toc206400973 \h </w:instrText>
            </w:r>
            <w:r>
              <w:rPr>
                <w:webHidden/>
              </w:rPr>
            </w:r>
            <w:r>
              <w:rPr>
                <w:webHidden/>
              </w:rPr>
              <w:fldChar w:fldCharType="separate"/>
            </w:r>
            <w:r>
              <w:rPr>
                <w:webHidden/>
              </w:rPr>
              <w:t>1</w:t>
            </w:r>
            <w:r>
              <w:rPr>
                <w:webHidden/>
              </w:rPr>
              <w:fldChar w:fldCharType="end"/>
            </w:r>
          </w:hyperlink>
        </w:p>
        <w:p w14:paraId="4E4CEE67" w14:textId="41DF6E2F" w:rsidR="00DD0422" w:rsidRDefault="00DD0422">
          <w:pPr>
            <w:pStyle w:val="TOC1"/>
            <w:rPr>
              <w:rFonts w:eastAsiaTheme="minorEastAsia"/>
              <w:b w:val="0"/>
              <w:kern w:val="2"/>
              <w:sz w:val="24"/>
              <w:szCs w:val="24"/>
              <w:lang w:eastAsia="en-AU"/>
              <w14:ligatures w14:val="standardContextual"/>
            </w:rPr>
          </w:pPr>
          <w:hyperlink w:anchor="_Toc206400974" w:history="1">
            <w:r w:rsidRPr="00501049">
              <w:rPr>
                <w:rStyle w:val="Hyperlink"/>
              </w:rPr>
              <w:t>Purpose, role and function</w:t>
            </w:r>
            <w:r>
              <w:rPr>
                <w:webHidden/>
              </w:rPr>
              <w:tab/>
            </w:r>
            <w:r>
              <w:rPr>
                <w:webHidden/>
              </w:rPr>
              <w:fldChar w:fldCharType="begin"/>
            </w:r>
            <w:r>
              <w:rPr>
                <w:webHidden/>
              </w:rPr>
              <w:instrText xml:space="preserve"> PAGEREF _Toc206400974 \h </w:instrText>
            </w:r>
            <w:r>
              <w:rPr>
                <w:webHidden/>
              </w:rPr>
            </w:r>
            <w:r>
              <w:rPr>
                <w:webHidden/>
              </w:rPr>
              <w:fldChar w:fldCharType="separate"/>
            </w:r>
            <w:r>
              <w:rPr>
                <w:webHidden/>
              </w:rPr>
              <w:t>2</w:t>
            </w:r>
            <w:r>
              <w:rPr>
                <w:webHidden/>
              </w:rPr>
              <w:fldChar w:fldCharType="end"/>
            </w:r>
          </w:hyperlink>
        </w:p>
        <w:p w14:paraId="7862CE9D" w14:textId="253285AE" w:rsidR="00DD0422" w:rsidRDefault="00DD0422">
          <w:pPr>
            <w:pStyle w:val="TOC2"/>
            <w:rPr>
              <w:rFonts w:eastAsiaTheme="minorEastAsia"/>
              <w:kern w:val="2"/>
              <w:sz w:val="24"/>
              <w:szCs w:val="24"/>
              <w:lang w:eastAsia="en-AU"/>
              <w14:ligatures w14:val="standardContextual"/>
            </w:rPr>
          </w:pPr>
          <w:hyperlink w:anchor="_Toc206400975" w:history="1">
            <w:r w:rsidRPr="00501049">
              <w:rPr>
                <w:rStyle w:val="Hyperlink"/>
              </w:rPr>
              <w:t>Purpose</w:t>
            </w:r>
            <w:r>
              <w:rPr>
                <w:webHidden/>
              </w:rPr>
              <w:tab/>
            </w:r>
            <w:r>
              <w:rPr>
                <w:webHidden/>
              </w:rPr>
              <w:fldChar w:fldCharType="begin"/>
            </w:r>
            <w:r>
              <w:rPr>
                <w:webHidden/>
              </w:rPr>
              <w:instrText xml:space="preserve"> PAGEREF _Toc206400975 \h </w:instrText>
            </w:r>
            <w:r>
              <w:rPr>
                <w:webHidden/>
              </w:rPr>
            </w:r>
            <w:r>
              <w:rPr>
                <w:webHidden/>
              </w:rPr>
              <w:fldChar w:fldCharType="separate"/>
            </w:r>
            <w:r>
              <w:rPr>
                <w:webHidden/>
              </w:rPr>
              <w:t>2</w:t>
            </w:r>
            <w:r>
              <w:rPr>
                <w:webHidden/>
              </w:rPr>
              <w:fldChar w:fldCharType="end"/>
            </w:r>
          </w:hyperlink>
        </w:p>
        <w:p w14:paraId="019D5E24" w14:textId="7884A9B0" w:rsidR="00DD0422" w:rsidRDefault="00DD0422">
          <w:pPr>
            <w:pStyle w:val="TOC2"/>
            <w:rPr>
              <w:rFonts w:eastAsiaTheme="minorEastAsia"/>
              <w:kern w:val="2"/>
              <w:sz w:val="24"/>
              <w:szCs w:val="24"/>
              <w:lang w:eastAsia="en-AU"/>
              <w14:ligatures w14:val="standardContextual"/>
            </w:rPr>
          </w:pPr>
          <w:hyperlink w:anchor="_Toc206400976" w:history="1">
            <w:r w:rsidRPr="00501049">
              <w:rPr>
                <w:rStyle w:val="Hyperlink"/>
              </w:rPr>
              <w:t>Functions</w:t>
            </w:r>
            <w:r>
              <w:rPr>
                <w:webHidden/>
              </w:rPr>
              <w:tab/>
            </w:r>
            <w:r>
              <w:rPr>
                <w:webHidden/>
              </w:rPr>
              <w:fldChar w:fldCharType="begin"/>
            </w:r>
            <w:r>
              <w:rPr>
                <w:webHidden/>
              </w:rPr>
              <w:instrText xml:space="preserve"> PAGEREF _Toc206400976 \h </w:instrText>
            </w:r>
            <w:r>
              <w:rPr>
                <w:webHidden/>
              </w:rPr>
            </w:r>
            <w:r>
              <w:rPr>
                <w:webHidden/>
              </w:rPr>
              <w:fldChar w:fldCharType="separate"/>
            </w:r>
            <w:r>
              <w:rPr>
                <w:webHidden/>
              </w:rPr>
              <w:t>2</w:t>
            </w:r>
            <w:r>
              <w:rPr>
                <w:webHidden/>
              </w:rPr>
              <w:fldChar w:fldCharType="end"/>
            </w:r>
          </w:hyperlink>
        </w:p>
        <w:p w14:paraId="0D313D5C" w14:textId="7876C8DB" w:rsidR="00DD0422" w:rsidRDefault="00DD0422">
          <w:pPr>
            <w:pStyle w:val="TOC2"/>
            <w:rPr>
              <w:rFonts w:eastAsiaTheme="minorEastAsia"/>
              <w:kern w:val="2"/>
              <w:sz w:val="24"/>
              <w:szCs w:val="24"/>
              <w:lang w:eastAsia="en-AU"/>
              <w14:ligatures w14:val="standardContextual"/>
            </w:rPr>
          </w:pPr>
          <w:hyperlink w:anchor="_Toc206400977" w:history="1">
            <w:r w:rsidRPr="00501049">
              <w:rPr>
                <w:rStyle w:val="Hyperlink"/>
              </w:rPr>
              <w:t>Annual work plan</w:t>
            </w:r>
            <w:r>
              <w:rPr>
                <w:webHidden/>
              </w:rPr>
              <w:tab/>
            </w:r>
            <w:r>
              <w:rPr>
                <w:webHidden/>
              </w:rPr>
              <w:fldChar w:fldCharType="begin"/>
            </w:r>
            <w:r>
              <w:rPr>
                <w:webHidden/>
              </w:rPr>
              <w:instrText xml:space="preserve"> PAGEREF _Toc206400977 \h </w:instrText>
            </w:r>
            <w:r>
              <w:rPr>
                <w:webHidden/>
              </w:rPr>
            </w:r>
            <w:r>
              <w:rPr>
                <w:webHidden/>
              </w:rPr>
              <w:fldChar w:fldCharType="separate"/>
            </w:r>
            <w:r>
              <w:rPr>
                <w:webHidden/>
              </w:rPr>
              <w:t>3</w:t>
            </w:r>
            <w:r>
              <w:rPr>
                <w:webHidden/>
              </w:rPr>
              <w:fldChar w:fldCharType="end"/>
            </w:r>
          </w:hyperlink>
        </w:p>
        <w:p w14:paraId="350BA154" w14:textId="46EB1DB9" w:rsidR="00DD0422" w:rsidRDefault="00DD0422">
          <w:pPr>
            <w:pStyle w:val="TOC2"/>
            <w:rPr>
              <w:rFonts w:eastAsiaTheme="minorEastAsia"/>
              <w:kern w:val="2"/>
              <w:sz w:val="24"/>
              <w:szCs w:val="24"/>
              <w:lang w:eastAsia="en-AU"/>
              <w14:ligatures w14:val="standardContextual"/>
            </w:rPr>
          </w:pPr>
          <w:hyperlink w:anchor="_Toc206400978" w:history="1">
            <w:r w:rsidRPr="00501049">
              <w:rPr>
                <w:rStyle w:val="Hyperlink"/>
              </w:rPr>
              <w:t>Review process</w:t>
            </w:r>
            <w:r>
              <w:rPr>
                <w:webHidden/>
              </w:rPr>
              <w:tab/>
            </w:r>
            <w:r>
              <w:rPr>
                <w:webHidden/>
              </w:rPr>
              <w:fldChar w:fldCharType="begin"/>
            </w:r>
            <w:r>
              <w:rPr>
                <w:webHidden/>
              </w:rPr>
              <w:instrText xml:space="preserve"> PAGEREF _Toc206400978 \h </w:instrText>
            </w:r>
            <w:r>
              <w:rPr>
                <w:webHidden/>
              </w:rPr>
            </w:r>
            <w:r>
              <w:rPr>
                <w:webHidden/>
              </w:rPr>
              <w:fldChar w:fldCharType="separate"/>
            </w:r>
            <w:r>
              <w:rPr>
                <w:webHidden/>
              </w:rPr>
              <w:t>3</w:t>
            </w:r>
            <w:r>
              <w:rPr>
                <w:webHidden/>
              </w:rPr>
              <w:fldChar w:fldCharType="end"/>
            </w:r>
          </w:hyperlink>
        </w:p>
        <w:p w14:paraId="1A38ED9F" w14:textId="63228917" w:rsidR="00DD0422" w:rsidRDefault="00DD0422">
          <w:pPr>
            <w:pStyle w:val="TOC2"/>
            <w:rPr>
              <w:rFonts w:eastAsiaTheme="minorEastAsia"/>
              <w:kern w:val="2"/>
              <w:sz w:val="24"/>
              <w:szCs w:val="24"/>
              <w:lang w:eastAsia="en-AU"/>
              <w14:ligatures w14:val="standardContextual"/>
            </w:rPr>
          </w:pPr>
          <w:hyperlink w:anchor="_Toc206400979" w:history="1">
            <w:r w:rsidRPr="00501049">
              <w:rPr>
                <w:rStyle w:val="Hyperlink"/>
              </w:rPr>
              <w:t>Stakeholder engagement</w:t>
            </w:r>
            <w:r>
              <w:rPr>
                <w:webHidden/>
              </w:rPr>
              <w:tab/>
            </w:r>
            <w:r>
              <w:rPr>
                <w:webHidden/>
              </w:rPr>
              <w:fldChar w:fldCharType="begin"/>
            </w:r>
            <w:r>
              <w:rPr>
                <w:webHidden/>
              </w:rPr>
              <w:instrText xml:space="preserve"> PAGEREF _Toc206400979 \h </w:instrText>
            </w:r>
            <w:r>
              <w:rPr>
                <w:webHidden/>
              </w:rPr>
            </w:r>
            <w:r>
              <w:rPr>
                <w:webHidden/>
              </w:rPr>
              <w:fldChar w:fldCharType="separate"/>
            </w:r>
            <w:r>
              <w:rPr>
                <w:webHidden/>
              </w:rPr>
              <w:t>4</w:t>
            </w:r>
            <w:r>
              <w:rPr>
                <w:webHidden/>
              </w:rPr>
              <w:fldChar w:fldCharType="end"/>
            </w:r>
          </w:hyperlink>
        </w:p>
        <w:p w14:paraId="15009D48" w14:textId="6C9802A3" w:rsidR="00DD0422" w:rsidRDefault="00DD0422">
          <w:pPr>
            <w:pStyle w:val="TOC2"/>
            <w:rPr>
              <w:rFonts w:eastAsiaTheme="minorEastAsia"/>
              <w:kern w:val="2"/>
              <w:sz w:val="24"/>
              <w:szCs w:val="24"/>
              <w:lang w:eastAsia="en-AU"/>
              <w14:ligatures w14:val="standardContextual"/>
            </w:rPr>
          </w:pPr>
          <w:hyperlink w:anchor="_Toc206400980" w:history="1">
            <w:r w:rsidRPr="00501049">
              <w:rPr>
                <w:rStyle w:val="Hyperlink"/>
              </w:rPr>
              <w:t>Management and accountability</w:t>
            </w:r>
            <w:r>
              <w:rPr>
                <w:webHidden/>
              </w:rPr>
              <w:tab/>
            </w:r>
            <w:r>
              <w:rPr>
                <w:webHidden/>
              </w:rPr>
              <w:fldChar w:fldCharType="begin"/>
            </w:r>
            <w:r>
              <w:rPr>
                <w:webHidden/>
              </w:rPr>
              <w:instrText xml:space="preserve"> PAGEREF _Toc206400980 \h </w:instrText>
            </w:r>
            <w:r>
              <w:rPr>
                <w:webHidden/>
              </w:rPr>
            </w:r>
            <w:r>
              <w:rPr>
                <w:webHidden/>
              </w:rPr>
              <w:fldChar w:fldCharType="separate"/>
            </w:r>
            <w:r>
              <w:rPr>
                <w:webHidden/>
              </w:rPr>
              <w:t>5</w:t>
            </w:r>
            <w:r>
              <w:rPr>
                <w:webHidden/>
              </w:rPr>
              <w:fldChar w:fldCharType="end"/>
            </w:r>
          </w:hyperlink>
        </w:p>
        <w:p w14:paraId="539E8AF1" w14:textId="7EB19CE5" w:rsidR="00DD0422" w:rsidRDefault="00DD0422">
          <w:pPr>
            <w:pStyle w:val="TOC2"/>
            <w:rPr>
              <w:rFonts w:eastAsiaTheme="minorEastAsia"/>
              <w:kern w:val="2"/>
              <w:sz w:val="24"/>
              <w:szCs w:val="24"/>
              <w:lang w:eastAsia="en-AU"/>
              <w14:ligatures w14:val="standardContextual"/>
            </w:rPr>
          </w:pPr>
          <w:hyperlink w:anchor="_Toc206400981" w:history="1">
            <w:r w:rsidRPr="00501049">
              <w:rPr>
                <w:rStyle w:val="Hyperlink"/>
              </w:rPr>
              <w:t>Budget</w:t>
            </w:r>
            <w:r>
              <w:rPr>
                <w:webHidden/>
              </w:rPr>
              <w:tab/>
            </w:r>
            <w:r>
              <w:rPr>
                <w:webHidden/>
              </w:rPr>
              <w:fldChar w:fldCharType="begin"/>
            </w:r>
            <w:r>
              <w:rPr>
                <w:webHidden/>
              </w:rPr>
              <w:instrText xml:space="preserve"> PAGEREF _Toc206400981 \h </w:instrText>
            </w:r>
            <w:r>
              <w:rPr>
                <w:webHidden/>
              </w:rPr>
            </w:r>
            <w:r>
              <w:rPr>
                <w:webHidden/>
              </w:rPr>
              <w:fldChar w:fldCharType="separate"/>
            </w:r>
            <w:r>
              <w:rPr>
                <w:webHidden/>
              </w:rPr>
              <w:t>5</w:t>
            </w:r>
            <w:r>
              <w:rPr>
                <w:webHidden/>
              </w:rPr>
              <w:fldChar w:fldCharType="end"/>
            </w:r>
          </w:hyperlink>
        </w:p>
        <w:p w14:paraId="04450F17" w14:textId="7C1A9E3B" w:rsidR="00DD0422" w:rsidRDefault="00DD0422">
          <w:pPr>
            <w:pStyle w:val="TOC2"/>
            <w:rPr>
              <w:rFonts w:eastAsiaTheme="minorEastAsia"/>
              <w:kern w:val="2"/>
              <w:sz w:val="24"/>
              <w:szCs w:val="24"/>
              <w:lang w:eastAsia="en-AU"/>
              <w14:ligatures w14:val="standardContextual"/>
            </w:rPr>
          </w:pPr>
          <w:hyperlink w:anchor="_Toc206400982" w:history="1">
            <w:r w:rsidRPr="00501049">
              <w:rPr>
                <w:rStyle w:val="Hyperlink"/>
              </w:rPr>
              <w:t>Staffing</w:t>
            </w:r>
            <w:r>
              <w:rPr>
                <w:webHidden/>
              </w:rPr>
              <w:tab/>
            </w:r>
            <w:r>
              <w:rPr>
                <w:webHidden/>
              </w:rPr>
              <w:fldChar w:fldCharType="begin"/>
            </w:r>
            <w:r>
              <w:rPr>
                <w:webHidden/>
              </w:rPr>
              <w:instrText xml:space="preserve"> PAGEREF _Toc206400982 \h </w:instrText>
            </w:r>
            <w:r>
              <w:rPr>
                <w:webHidden/>
              </w:rPr>
            </w:r>
            <w:r>
              <w:rPr>
                <w:webHidden/>
              </w:rPr>
              <w:fldChar w:fldCharType="separate"/>
            </w:r>
            <w:r>
              <w:rPr>
                <w:webHidden/>
              </w:rPr>
              <w:t>5</w:t>
            </w:r>
            <w:r>
              <w:rPr>
                <w:webHidden/>
              </w:rPr>
              <w:fldChar w:fldCharType="end"/>
            </w:r>
          </w:hyperlink>
        </w:p>
        <w:p w14:paraId="6860A4BE" w14:textId="26D88700" w:rsidR="00DD0422" w:rsidRDefault="00DD0422">
          <w:pPr>
            <w:pStyle w:val="TOC1"/>
            <w:rPr>
              <w:rFonts w:eastAsiaTheme="minorEastAsia"/>
              <w:b w:val="0"/>
              <w:kern w:val="2"/>
              <w:sz w:val="24"/>
              <w:szCs w:val="24"/>
              <w:lang w:eastAsia="en-AU"/>
              <w14:ligatures w14:val="standardContextual"/>
            </w:rPr>
          </w:pPr>
          <w:hyperlink w:anchor="_Toc206400983" w:history="1">
            <w:r w:rsidRPr="00501049">
              <w:rPr>
                <w:rStyle w:val="Hyperlink"/>
              </w:rPr>
              <w:t>Appendix A: Brief history of inspectors-general</w:t>
            </w:r>
            <w:r>
              <w:rPr>
                <w:webHidden/>
              </w:rPr>
              <w:tab/>
            </w:r>
            <w:r>
              <w:rPr>
                <w:webHidden/>
              </w:rPr>
              <w:fldChar w:fldCharType="begin"/>
            </w:r>
            <w:r>
              <w:rPr>
                <w:webHidden/>
              </w:rPr>
              <w:instrText xml:space="preserve"> PAGEREF _Toc206400983 \h </w:instrText>
            </w:r>
            <w:r>
              <w:rPr>
                <w:webHidden/>
              </w:rPr>
            </w:r>
            <w:r>
              <w:rPr>
                <w:webHidden/>
              </w:rPr>
              <w:fldChar w:fldCharType="separate"/>
            </w:r>
            <w:r>
              <w:rPr>
                <w:webHidden/>
              </w:rPr>
              <w:t>6</w:t>
            </w:r>
            <w:r>
              <w:rPr>
                <w:webHidden/>
              </w:rPr>
              <w:fldChar w:fldCharType="end"/>
            </w:r>
          </w:hyperlink>
        </w:p>
        <w:p w14:paraId="5E9D007D" w14:textId="6B730102" w:rsidR="00DD0422" w:rsidRDefault="00DD0422">
          <w:pPr>
            <w:pStyle w:val="TOC1"/>
            <w:rPr>
              <w:rFonts w:eastAsiaTheme="minorEastAsia"/>
              <w:b w:val="0"/>
              <w:kern w:val="2"/>
              <w:sz w:val="24"/>
              <w:szCs w:val="24"/>
              <w:lang w:eastAsia="en-AU"/>
              <w14:ligatures w14:val="standardContextual"/>
            </w:rPr>
          </w:pPr>
          <w:hyperlink w:anchor="_Toc206400984" w:history="1">
            <w:r w:rsidRPr="00501049">
              <w:rPr>
                <w:rStyle w:val="Hyperlink"/>
              </w:rPr>
              <w:t>Appendix B: Status of recommendations</w:t>
            </w:r>
            <w:r>
              <w:rPr>
                <w:webHidden/>
              </w:rPr>
              <w:tab/>
            </w:r>
            <w:r>
              <w:rPr>
                <w:webHidden/>
              </w:rPr>
              <w:fldChar w:fldCharType="begin"/>
            </w:r>
            <w:r>
              <w:rPr>
                <w:webHidden/>
              </w:rPr>
              <w:instrText xml:space="preserve"> PAGEREF _Toc206400984 \h </w:instrText>
            </w:r>
            <w:r>
              <w:rPr>
                <w:webHidden/>
              </w:rPr>
            </w:r>
            <w:r>
              <w:rPr>
                <w:webHidden/>
              </w:rPr>
              <w:fldChar w:fldCharType="separate"/>
            </w:r>
            <w:r>
              <w:rPr>
                <w:webHidden/>
              </w:rPr>
              <w:t>7</w:t>
            </w:r>
            <w:r>
              <w:rPr>
                <w:webHidden/>
              </w:rPr>
              <w:fldChar w:fldCharType="end"/>
            </w:r>
          </w:hyperlink>
        </w:p>
        <w:p w14:paraId="398F0AB1" w14:textId="482891BA" w:rsidR="0000088C" w:rsidRDefault="0000088C" w:rsidP="0000088C">
          <w:pPr>
            <w:pStyle w:val="TOC1"/>
          </w:pPr>
          <w:r>
            <w:rPr>
              <w:b w:val="0"/>
            </w:rPr>
            <w:fldChar w:fldCharType="end"/>
          </w:r>
        </w:p>
      </w:sdtContent>
    </w:sdt>
    <w:p w14:paraId="3F99EBF6" w14:textId="77777777" w:rsidR="0000088C" w:rsidRDefault="0000088C" w:rsidP="0000088C">
      <w:pPr>
        <w:pStyle w:val="TOCHeading2"/>
        <w:rPr>
          <w:rStyle w:val="Strong"/>
        </w:rPr>
      </w:pPr>
      <w:r w:rsidRPr="004B1DA1">
        <w:rPr>
          <w:rStyle w:val="Strong"/>
          <w:b/>
          <w:bCs w:val="0"/>
        </w:rPr>
        <w:t>Tables</w:t>
      </w:r>
    </w:p>
    <w:p w14:paraId="0C7C94E8" w14:textId="624C1D33" w:rsidR="00A07940" w:rsidRDefault="0000088C" w:rsidP="0000088C">
      <w:pPr>
        <w:pStyle w:val="TableofFigures"/>
        <w:tabs>
          <w:tab w:val="right" w:leader="dot" w:pos="9060"/>
        </w:tabs>
        <w:rPr>
          <w:noProof/>
        </w:rPr>
      </w:pPr>
      <w:r w:rsidRPr="00707721">
        <w:rPr>
          <w:rStyle w:val="Hyperlink"/>
        </w:rPr>
        <w:fldChar w:fldCharType="begin"/>
      </w:r>
      <w:r w:rsidRPr="00707721">
        <w:rPr>
          <w:rStyle w:val="Hyperlink"/>
          <w:noProof/>
        </w:rPr>
        <w:instrText xml:space="preserve"> TOC \h \z \c "Table" </w:instrText>
      </w:r>
      <w:r w:rsidRPr="00707721">
        <w:rPr>
          <w:rStyle w:val="Hyperlink"/>
        </w:rPr>
        <w:fldChar w:fldCharType="separate"/>
      </w:r>
      <w:hyperlink w:anchor="_Toc206078595" w:history="1">
        <w:r w:rsidR="00A07940" w:rsidRPr="00BD6413">
          <w:rPr>
            <w:rStyle w:val="Hyperlink"/>
            <w:noProof/>
          </w:rPr>
          <w:t>Table 1 L</w:t>
        </w:r>
        <w:r w:rsidR="00A07940" w:rsidRPr="00BD6413">
          <w:rPr>
            <w:rStyle w:val="Hyperlink"/>
            <w:noProof/>
            <w:lang w:eastAsia="ja-JP"/>
          </w:rPr>
          <w:t>ivestock exported from Australia by air and sea, 2024–25</w:t>
        </w:r>
        <w:r w:rsidR="00A07940">
          <w:rPr>
            <w:noProof/>
            <w:webHidden/>
          </w:rPr>
          <w:tab/>
        </w:r>
        <w:r w:rsidR="00A07940">
          <w:rPr>
            <w:noProof/>
            <w:webHidden/>
          </w:rPr>
          <w:fldChar w:fldCharType="begin"/>
        </w:r>
        <w:r w:rsidR="00A07940">
          <w:rPr>
            <w:noProof/>
            <w:webHidden/>
          </w:rPr>
          <w:instrText xml:space="preserve"> PAGEREF _Toc206078595 \h </w:instrText>
        </w:r>
        <w:r w:rsidR="00A07940">
          <w:rPr>
            <w:noProof/>
            <w:webHidden/>
          </w:rPr>
        </w:r>
        <w:r w:rsidR="00A07940">
          <w:rPr>
            <w:noProof/>
            <w:webHidden/>
          </w:rPr>
          <w:fldChar w:fldCharType="separate"/>
        </w:r>
        <w:r w:rsidR="00A07940">
          <w:rPr>
            <w:noProof/>
            <w:webHidden/>
          </w:rPr>
          <w:t>1</w:t>
        </w:r>
        <w:r w:rsidR="00A07940">
          <w:rPr>
            <w:noProof/>
            <w:webHidden/>
          </w:rPr>
          <w:fldChar w:fldCharType="end"/>
        </w:r>
      </w:hyperlink>
      <w:r w:rsidRPr="00707721">
        <w:rPr>
          <w:noProof/>
        </w:rPr>
        <w:fldChar w:fldCharType="end"/>
      </w:r>
      <w:r w:rsidRPr="00707721">
        <w:fldChar w:fldCharType="begin"/>
      </w:r>
      <w:r w:rsidRPr="00707721">
        <w:instrText xml:space="preserve"> TOC \h \z \c "Table B" </w:instrText>
      </w:r>
      <w:r w:rsidRPr="00707721">
        <w:fldChar w:fldCharType="separate"/>
      </w:r>
    </w:p>
    <w:p w14:paraId="226947D3" w14:textId="64EF9652" w:rsidR="00A07940" w:rsidRDefault="00A07940">
      <w:pPr>
        <w:pStyle w:val="TableofFigures"/>
        <w:tabs>
          <w:tab w:val="right" w:leader="dot" w:pos="9060"/>
        </w:tabs>
        <w:rPr>
          <w:rFonts w:eastAsiaTheme="minorEastAsia"/>
          <w:noProof/>
          <w:kern w:val="2"/>
          <w:sz w:val="24"/>
          <w:szCs w:val="24"/>
          <w:lang w:eastAsia="en-AU"/>
          <w14:ligatures w14:val="standardContextual"/>
        </w:rPr>
      </w:pPr>
      <w:hyperlink w:anchor="_Toc206078596" w:history="1">
        <w:r w:rsidRPr="006C00A8">
          <w:rPr>
            <w:rStyle w:val="Hyperlink"/>
            <w:noProof/>
          </w:rPr>
          <w:t xml:space="preserve">Table B1 Overview of </w:t>
        </w:r>
        <w:r w:rsidRPr="00DD0422">
          <w:rPr>
            <w:rStyle w:val="Hyperlink"/>
            <w:noProof/>
          </w:rPr>
          <w:t>inspectors-general reviews a</w:t>
        </w:r>
        <w:r w:rsidRPr="006C00A8">
          <w:rPr>
            <w:rStyle w:val="Hyperlink"/>
            <w:noProof/>
          </w:rPr>
          <w:t>nd recommendation status</w:t>
        </w:r>
        <w:r>
          <w:rPr>
            <w:noProof/>
            <w:webHidden/>
          </w:rPr>
          <w:tab/>
        </w:r>
        <w:r>
          <w:rPr>
            <w:noProof/>
            <w:webHidden/>
          </w:rPr>
          <w:fldChar w:fldCharType="begin"/>
        </w:r>
        <w:r>
          <w:rPr>
            <w:noProof/>
            <w:webHidden/>
          </w:rPr>
          <w:instrText xml:space="preserve"> PAGEREF _Toc206078596 \h </w:instrText>
        </w:r>
        <w:r>
          <w:rPr>
            <w:noProof/>
            <w:webHidden/>
          </w:rPr>
        </w:r>
        <w:r>
          <w:rPr>
            <w:noProof/>
            <w:webHidden/>
          </w:rPr>
          <w:fldChar w:fldCharType="separate"/>
        </w:r>
        <w:r>
          <w:rPr>
            <w:noProof/>
            <w:webHidden/>
          </w:rPr>
          <w:t>8</w:t>
        </w:r>
        <w:r>
          <w:rPr>
            <w:noProof/>
            <w:webHidden/>
          </w:rPr>
          <w:fldChar w:fldCharType="end"/>
        </w:r>
      </w:hyperlink>
    </w:p>
    <w:p w14:paraId="107384DE" w14:textId="433732F0" w:rsidR="0000088C" w:rsidRDefault="0000088C" w:rsidP="0000088C">
      <w:pPr>
        <w:pStyle w:val="TableofFigures"/>
        <w:tabs>
          <w:tab w:val="right" w:leader="dot" w:pos="9060"/>
        </w:tabs>
      </w:pPr>
      <w:r w:rsidRPr="00707721">
        <w:fldChar w:fldCharType="end"/>
      </w:r>
    </w:p>
    <w:p w14:paraId="3ABD0407" w14:textId="77777777" w:rsidR="0000088C" w:rsidRPr="00707721" w:rsidRDefault="0000088C" w:rsidP="0000088C">
      <w:pPr>
        <w:pStyle w:val="TOCHeading2"/>
        <w:rPr>
          <w:rStyle w:val="Strong"/>
        </w:rPr>
      </w:pPr>
      <w:r w:rsidRPr="00707721">
        <w:t>Figures</w:t>
      </w:r>
    </w:p>
    <w:p w14:paraId="14C6A470" w14:textId="56936AA4" w:rsidR="00A07940" w:rsidRPr="00DD0422" w:rsidRDefault="0000088C">
      <w:pPr>
        <w:pStyle w:val="TableofFigures"/>
        <w:tabs>
          <w:tab w:val="right" w:leader="dot" w:pos="9060"/>
        </w:tabs>
        <w:rPr>
          <w:rFonts w:eastAsiaTheme="minorEastAsia"/>
          <w:noProof/>
          <w:kern w:val="2"/>
          <w:sz w:val="24"/>
          <w:szCs w:val="24"/>
          <w:lang w:eastAsia="en-AU"/>
          <w14:ligatures w14:val="standardContextual"/>
        </w:rPr>
      </w:pPr>
      <w:r w:rsidRPr="00707721">
        <w:fldChar w:fldCharType="begin"/>
      </w:r>
      <w:r w:rsidRPr="00707721">
        <w:instrText xml:space="preserve"> TOC \h \z \c "Figure" </w:instrText>
      </w:r>
      <w:r w:rsidRPr="00707721">
        <w:fldChar w:fldCharType="separate"/>
      </w:r>
      <w:hyperlink w:anchor="_Toc206078642" w:history="1">
        <w:r w:rsidR="00A07940" w:rsidRPr="00DD0422">
          <w:rPr>
            <w:rStyle w:val="Hyperlink"/>
            <w:noProof/>
          </w:rPr>
          <w:t>Figure 1 Livestock con</w:t>
        </w:r>
        <w:r w:rsidR="00A07940" w:rsidRPr="00DD0422">
          <w:rPr>
            <w:rStyle w:val="Hyperlink"/>
            <w:noProof/>
            <w:lang w:eastAsia="ja-JP"/>
          </w:rPr>
          <w:t>signments by air and sea, 2022–23 to 2024–25</w:t>
        </w:r>
        <w:r w:rsidR="00A07940" w:rsidRPr="00DD0422">
          <w:rPr>
            <w:noProof/>
            <w:webHidden/>
          </w:rPr>
          <w:tab/>
        </w:r>
        <w:r w:rsidR="00A07940" w:rsidRPr="00DD0422">
          <w:rPr>
            <w:noProof/>
            <w:webHidden/>
          </w:rPr>
          <w:fldChar w:fldCharType="begin"/>
        </w:r>
        <w:r w:rsidR="00A07940" w:rsidRPr="00DD0422">
          <w:rPr>
            <w:noProof/>
            <w:webHidden/>
          </w:rPr>
          <w:instrText xml:space="preserve"> PAGEREF _Toc206078642 \h </w:instrText>
        </w:r>
        <w:r w:rsidR="00A07940" w:rsidRPr="00DD0422">
          <w:rPr>
            <w:noProof/>
            <w:webHidden/>
          </w:rPr>
        </w:r>
        <w:r w:rsidR="00A07940" w:rsidRPr="00DD0422">
          <w:rPr>
            <w:noProof/>
            <w:webHidden/>
          </w:rPr>
          <w:fldChar w:fldCharType="separate"/>
        </w:r>
        <w:r w:rsidR="00A07940" w:rsidRPr="00DD0422">
          <w:rPr>
            <w:noProof/>
            <w:webHidden/>
          </w:rPr>
          <w:t>1</w:t>
        </w:r>
        <w:r w:rsidR="00A07940" w:rsidRPr="00DD0422">
          <w:rPr>
            <w:noProof/>
            <w:webHidden/>
          </w:rPr>
          <w:fldChar w:fldCharType="end"/>
        </w:r>
      </w:hyperlink>
    </w:p>
    <w:p w14:paraId="239F2B11" w14:textId="6AE0CDAC" w:rsidR="00A07940" w:rsidRDefault="00A07940">
      <w:pPr>
        <w:pStyle w:val="TableofFigures"/>
        <w:tabs>
          <w:tab w:val="right" w:leader="dot" w:pos="9060"/>
        </w:tabs>
        <w:rPr>
          <w:rFonts w:eastAsiaTheme="minorEastAsia"/>
          <w:noProof/>
          <w:kern w:val="2"/>
          <w:sz w:val="24"/>
          <w:szCs w:val="24"/>
          <w:lang w:eastAsia="en-AU"/>
          <w14:ligatures w14:val="standardContextual"/>
        </w:rPr>
      </w:pPr>
      <w:hyperlink w:anchor="_Toc206078643" w:history="1">
        <w:r w:rsidRPr="00DD0422">
          <w:rPr>
            <w:rStyle w:val="Hyperlink"/>
            <w:noProof/>
          </w:rPr>
          <w:t>Figure 2 Overview of review steps</w:t>
        </w:r>
        <w:r w:rsidRPr="00DD0422">
          <w:rPr>
            <w:noProof/>
            <w:webHidden/>
          </w:rPr>
          <w:tab/>
        </w:r>
        <w:r w:rsidRPr="00DD0422">
          <w:rPr>
            <w:noProof/>
            <w:webHidden/>
          </w:rPr>
          <w:fldChar w:fldCharType="begin"/>
        </w:r>
        <w:r w:rsidRPr="00DD0422">
          <w:rPr>
            <w:noProof/>
            <w:webHidden/>
          </w:rPr>
          <w:instrText xml:space="preserve"> PAGEREF _Toc206078643 \h </w:instrText>
        </w:r>
        <w:r w:rsidRPr="00DD0422">
          <w:rPr>
            <w:noProof/>
            <w:webHidden/>
          </w:rPr>
        </w:r>
        <w:r w:rsidRPr="00DD0422">
          <w:rPr>
            <w:noProof/>
            <w:webHidden/>
          </w:rPr>
          <w:fldChar w:fldCharType="separate"/>
        </w:r>
        <w:r w:rsidRPr="00DD0422">
          <w:rPr>
            <w:noProof/>
            <w:webHidden/>
          </w:rPr>
          <w:t>4</w:t>
        </w:r>
        <w:r w:rsidRPr="00DD0422">
          <w:rPr>
            <w:noProof/>
            <w:webHidden/>
          </w:rPr>
          <w:fldChar w:fldCharType="end"/>
        </w:r>
      </w:hyperlink>
    </w:p>
    <w:p w14:paraId="241B851F" w14:textId="2C43F582" w:rsidR="0000088C" w:rsidRDefault="0000088C" w:rsidP="0000088C">
      <w:pPr>
        <w:pStyle w:val="TableofFigures"/>
        <w:tabs>
          <w:tab w:val="right" w:leader="dot" w:pos="9060"/>
        </w:tabs>
      </w:pPr>
      <w:r w:rsidRPr="00707721">
        <w:fldChar w:fldCharType="end"/>
      </w:r>
    </w:p>
    <w:p w14:paraId="31871F8A" w14:textId="770904FE" w:rsidR="00A06D1D" w:rsidRPr="00A06D1D" w:rsidRDefault="00A06D1D" w:rsidP="0000088C">
      <w:pPr>
        <w:pStyle w:val="Heading2"/>
        <w:numPr>
          <w:ilvl w:val="0"/>
          <w:numId w:val="0"/>
        </w:numPr>
      </w:pPr>
      <w:bookmarkStart w:id="1" w:name="_Toc206400963"/>
      <w:r w:rsidRPr="00A06D1D">
        <w:lastRenderedPageBreak/>
        <w:t xml:space="preserve">Letter of </w:t>
      </w:r>
      <w:bookmarkEnd w:id="0"/>
      <w:r w:rsidR="000812C8">
        <w:t>t</w:t>
      </w:r>
      <w:r w:rsidRPr="00A06D1D">
        <w:t>ransmittal</w:t>
      </w:r>
      <w:bookmarkEnd w:id="1"/>
    </w:p>
    <w:p w14:paraId="18D9C58D" w14:textId="7B5BFFB4" w:rsidR="00940857" w:rsidRDefault="00812290" w:rsidP="00940857">
      <w:r>
        <w:t>2</w:t>
      </w:r>
      <w:r w:rsidR="000B2D1D">
        <w:t>6</w:t>
      </w:r>
      <w:r w:rsidR="001050DB">
        <w:t xml:space="preserve"> August 2025</w:t>
      </w:r>
    </w:p>
    <w:p w14:paraId="27D1C9DA" w14:textId="309D2D26" w:rsidR="00A06D1D" w:rsidRPr="00A06D1D" w:rsidRDefault="00BF2024" w:rsidP="00A06D1D">
      <w:pPr>
        <w:spacing w:after="0" w:line="240" w:lineRule="auto"/>
      </w:pPr>
      <w:r>
        <w:t xml:space="preserve">Hon </w:t>
      </w:r>
      <w:r w:rsidR="00A06D1D" w:rsidRPr="00A06D1D">
        <w:t>Julie Collins MP</w:t>
      </w:r>
    </w:p>
    <w:p w14:paraId="36396612" w14:textId="77777777" w:rsidR="00A06D1D" w:rsidRPr="00A06D1D" w:rsidRDefault="00A06D1D" w:rsidP="00A06D1D">
      <w:pPr>
        <w:spacing w:after="0" w:line="240" w:lineRule="auto"/>
      </w:pPr>
      <w:r w:rsidRPr="00A06D1D">
        <w:t>Minister for Agriculture, Fisheries and Forestry</w:t>
      </w:r>
    </w:p>
    <w:p w14:paraId="530D8B04" w14:textId="77777777" w:rsidR="00A06D1D" w:rsidRPr="00A06D1D" w:rsidRDefault="00A06D1D" w:rsidP="00A06D1D">
      <w:pPr>
        <w:spacing w:after="0" w:line="240" w:lineRule="auto"/>
      </w:pPr>
      <w:r w:rsidRPr="00A06D1D">
        <w:t>Parliament House</w:t>
      </w:r>
    </w:p>
    <w:p w14:paraId="499B076C" w14:textId="77777777" w:rsidR="00A06D1D" w:rsidRPr="00A06D1D" w:rsidRDefault="00A06D1D" w:rsidP="00EB598A">
      <w:pPr>
        <w:spacing w:after="240" w:line="240" w:lineRule="auto"/>
      </w:pPr>
      <w:r w:rsidRPr="00A06D1D">
        <w:t>Canberra ACT 2900</w:t>
      </w:r>
    </w:p>
    <w:p w14:paraId="3BE3CDEE" w14:textId="51AEAC9B" w:rsidR="00A06D1D" w:rsidRPr="006A2B3D" w:rsidRDefault="00A06D1D" w:rsidP="00BF2024">
      <w:r w:rsidRPr="006A2B3D">
        <w:t xml:space="preserve">Dear </w:t>
      </w:r>
      <w:r w:rsidR="00502FDC">
        <w:t>M</w:t>
      </w:r>
      <w:r w:rsidRPr="006A2B3D">
        <w:t>inister</w:t>
      </w:r>
    </w:p>
    <w:p w14:paraId="465D0C0E" w14:textId="5E2BFE56" w:rsidR="00A06D1D" w:rsidRPr="006A2B3D" w:rsidRDefault="00A06D1D" w:rsidP="00BF2024">
      <w:r w:rsidRPr="006A2B3D">
        <w:t xml:space="preserve">I am pleased to provide you with the </w:t>
      </w:r>
      <w:r w:rsidR="00A020E0">
        <w:t>a</w:t>
      </w:r>
      <w:r w:rsidRPr="006A2B3D">
        <w:t xml:space="preserve">nnual </w:t>
      </w:r>
      <w:r w:rsidR="00A020E0">
        <w:t>r</w:t>
      </w:r>
      <w:r w:rsidRPr="006A2B3D">
        <w:t>eport of the Inspector-General of Animal Welfare and Live Animal Exports for the year ended 30 June 2025.</w:t>
      </w:r>
    </w:p>
    <w:p w14:paraId="0C2FAEE0" w14:textId="46BB7356" w:rsidR="00A06D1D" w:rsidRPr="006A2B3D" w:rsidRDefault="00A06D1D" w:rsidP="00BF2024">
      <w:r w:rsidRPr="006A2B3D">
        <w:t xml:space="preserve">This report has been prepared in accordance with Section 40 of the </w:t>
      </w:r>
      <w:r w:rsidRPr="006C4BC9">
        <w:rPr>
          <w:rStyle w:val="Emphasis"/>
        </w:rPr>
        <w:t>Inspector-General of Animal Welfare and Live Animal Exports Act 2019</w:t>
      </w:r>
      <w:r w:rsidRPr="006A2B3D">
        <w:t>.</w:t>
      </w:r>
    </w:p>
    <w:p w14:paraId="25D2BC1D" w14:textId="77777777" w:rsidR="00A06D1D" w:rsidRPr="006A2B3D" w:rsidRDefault="00A06D1D" w:rsidP="00EB598A">
      <w:pPr>
        <w:spacing w:after="120" w:line="240" w:lineRule="auto"/>
      </w:pPr>
      <w:r w:rsidRPr="006A2B3D">
        <w:t>Yours sincerely</w:t>
      </w:r>
    </w:p>
    <w:p w14:paraId="0672D84C" w14:textId="0ECEBA89" w:rsidR="00A06D1D" w:rsidRPr="00A06D1D" w:rsidRDefault="0029455C" w:rsidP="00A06D1D">
      <w:pPr>
        <w:spacing w:after="0" w:line="240" w:lineRule="auto"/>
      </w:pPr>
      <w:r>
        <w:rPr>
          <w:noProof/>
        </w:rPr>
        <w:drawing>
          <wp:inline distT="0" distB="0" distL="0" distR="0" wp14:anchorId="0C811CDA" wp14:editId="47BF04D0">
            <wp:extent cx="1428750" cy="180975"/>
            <wp:effectExtent l="0" t="0" r="0" b="9525"/>
            <wp:docPr id="20882565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56527"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3000" contrast="49000"/>
                              </a14:imgEffect>
                            </a14:imgLayer>
                          </a14:imgProps>
                        </a:ext>
                        <a:ext uri="{28A0092B-C50C-407E-A947-70E740481C1C}">
                          <a14:useLocalDpi xmlns:a14="http://schemas.microsoft.com/office/drawing/2010/main" val="0"/>
                        </a:ext>
                      </a:extLst>
                    </a:blip>
                    <a:srcRect/>
                    <a:stretch>
                      <a:fillRect/>
                    </a:stretch>
                  </pic:blipFill>
                  <pic:spPr bwMode="auto">
                    <a:xfrm>
                      <a:off x="0" y="0"/>
                      <a:ext cx="1428750" cy="180975"/>
                    </a:xfrm>
                    <a:prstGeom prst="rect">
                      <a:avLst/>
                    </a:prstGeom>
                    <a:noFill/>
                    <a:ln>
                      <a:noFill/>
                    </a:ln>
                  </pic:spPr>
                </pic:pic>
              </a:graphicData>
            </a:graphic>
          </wp:inline>
        </w:drawing>
      </w:r>
    </w:p>
    <w:p w14:paraId="061DA4D8" w14:textId="77777777" w:rsidR="00A06D1D" w:rsidRPr="00A06D1D" w:rsidRDefault="00A06D1D" w:rsidP="00EB598A">
      <w:pPr>
        <w:spacing w:before="120" w:after="0" w:line="240" w:lineRule="auto"/>
      </w:pPr>
      <w:r w:rsidRPr="00A06D1D">
        <w:t>Dr Katherine Clift</w:t>
      </w:r>
    </w:p>
    <w:p w14:paraId="388D110A" w14:textId="16D3741E" w:rsidR="007B62E9" w:rsidRPr="00A06D1D" w:rsidRDefault="00A06D1D" w:rsidP="00A06D1D">
      <w:pPr>
        <w:spacing w:after="0" w:line="240" w:lineRule="auto"/>
      </w:pPr>
      <w:r w:rsidRPr="00A06D1D">
        <w:t>Inspector-General of Animal Welfare and Live Animal Exports</w:t>
      </w:r>
    </w:p>
    <w:p w14:paraId="4A473EAB" w14:textId="3DF6A132" w:rsidR="007B62E9" w:rsidRDefault="007B62E9" w:rsidP="00301DF5">
      <w:pPr>
        <w:pStyle w:val="Heading2"/>
        <w:numPr>
          <w:ilvl w:val="0"/>
          <w:numId w:val="0"/>
        </w:numPr>
      </w:pPr>
      <w:bookmarkStart w:id="2" w:name="_Toc430782149"/>
      <w:bookmarkStart w:id="3" w:name="_Toc206400964"/>
      <w:r w:rsidRPr="007B62E9">
        <w:lastRenderedPageBreak/>
        <w:t>Year at a glance</w:t>
      </w:r>
      <w:bookmarkEnd w:id="2"/>
      <w:r w:rsidR="00812290">
        <w:t xml:space="preserve"> 2024–25</w:t>
      </w:r>
      <w:bookmarkEnd w:id="3"/>
    </w:p>
    <w:p w14:paraId="73467434" w14:textId="2DBFCDAA" w:rsidR="00933164" w:rsidRPr="00933164" w:rsidRDefault="00933164" w:rsidP="00933164">
      <w:pPr>
        <w:rPr>
          <w:lang w:eastAsia="ja-JP"/>
        </w:rPr>
      </w:pPr>
      <w:r>
        <w:rPr>
          <w:lang w:eastAsia="ja-JP"/>
        </w:rPr>
        <w:t>Review activity:</w:t>
      </w:r>
    </w:p>
    <w:p w14:paraId="2A3C0C66" w14:textId="77777777" w:rsidR="007B62E9" w:rsidRPr="007B62E9" w:rsidRDefault="007B62E9" w:rsidP="00933164">
      <w:pPr>
        <w:pStyle w:val="ListBullet"/>
      </w:pPr>
      <w:r w:rsidRPr="007B62E9">
        <w:t>2 reviews commenced</w:t>
      </w:r>
    </w:p>
    <w:p w14:paraId="5CB47C92" w14:textId="5F738E71" w:rsidR="007B62E9" w:rsidRPr="00AD3342" w:rsidRDefault="007B62E9" w:rsidP="00AD3342">
      <w:pPr>
        <w:pStyle w:val="ListBullet"/>
      </w:pPr>
      <w:r w:rsidRPr="007B62E9">
        <w:t xml:space="preserve">2 </w:t>
      </w:r>
      <w:r w:rsidR="00812290">
        <w:t>consultations</w:t>
      </w:r>
      <w:r w:rsidRPr="007B62E9">
        <w:t xml:space="preserve"> </w:t>
      </w:r>
      <w:r w:rsidRPr="00630061">
        <w:t>completed</w:t>
      </w:r>
      <w:r w:rsidR="00AD3342" w:rsidRPr="00630061">
        <w:t xml:space="preserve"> and </w:t>
      </w:r>
      <w:r w:rsidRPr="00630061">
        <w:t>23 submissions</w:t>
      </w:r>
      <w:r w:rsidRPr="00AD3342">
        <w:t xml:space="preserve"> received</w:t>
      </w:r>
    </w:p>
    <w:p w14:paraId="131BCCE0" w14:textId="01FD295F" w:rsidR="007B62E9" w:rsidRPr="00630061" w:rsidRDefault="007B62E9" w:rsidP="00933164">
      <w:pPr>
        <w:pStyle w:val="ListBullet"/>
      </w:pPr>
      <w:r w:rsidRPr="00630061">
        <w:t>2 reviews completed</w:t>
      </w:r>
      <w:r w:rsidR="001E1FC5" w:rsidRPr="00630061">
        <w:t>.</w:t>
      </w:r>
    </w:p>
    <w:p w14:paraId="0580AB6A" w14:textId="1B00B855" w:rsidR="00933164" w:rsidRPr="00630061" w:rsidRDefault="00933164" w:rsidP="00933164">
      <w:r w:rsidRPr="00630061">
        <w:t>Ongoing employees</w:t>
      </w:r>
      <w:r w:rsidR="001E1FC5" w:rsidRPr="00630061">
        <w:t>:</w:t>
      </w:r>
    </w:p>
    <w:p w14:paraId="27FC1B7B" w14:textId="395FE97E" w:rsidR="00933164" w:rsidRPr="00630061" w:rsidRDefault="007B62E9" w:rsidP="0071422B">
      <w:pPr>
        <w:pStyle w:val="ListBullet"/>
      </w:pPr>
      <w:r w:rsidRPr="00630061">
        <w:t>4 employees</w:t>
      </w:r>
      <w:r w:rsidR="00554229" w:rsidRPr="00630061">
        <w:t>.</w:t>
      </w:r>
    </w:p>
    <w:p w14:paraId="74F2F709" w14:textId="05AC4E64" w:rsidR="00933164" w:rsidRPr="00630061" w:rsidRDefault="00933164" w:rsidP="00933164">
      <w:r w:rsidRPr="00630061">
        <w:t xml:space="preserve">Stakeholder </w:t>
      </w:r>
      <w:r w:rsidR="00812290" w:rsidRPr="00630061">
        <w:t xml:space="preserve">and government </w:t>
      </w:r>
      <w:r w:rsidRPr="00630061">
        <w:t>engagement</w:t>
      </w:r>
      <w:r w:rsidR="00812290" w:rsidRPr="00630061">
        <w:t>s</w:t>
      </w:r>
      <w:r w:rsidR="001E1FC5" w:rsidRPr="00630061">
        <w:t>:</w:t>
      </w:r>
    </w:p>
    <w:p w14:paraId="5DE980E8" w14:textId="69AFCEA4" w:rsidR="007B62E9" w:rsidRPr="00630061" w:rsidRDefault="00933164" w:rsidP="00933164">
      <w:pPr>
        <w:pStyle w:val="ListBullet"/>
      </w:pPr>
      <w:r w:rsidRPr="00630061">
        <w:t>44 stakeholder m</w:t>
      </w:r>
      <w:r w:rsidR="007B62E9" w:rsidRPr="00630061">
        <w:t>eetings</w:t>
      </w:r>
    </w:p>
    <w:p w14:paraId="31A99E5E" w14:textId="447A57C3" w:rsidR="00812290" w:rsidRPr="00630061" w:rsidRDefault="00812290" w:rsidP="00933164">
      <w:pPr>
        <w:pStyle w:val="ListBullet"/>
      </w:pPr>
      <w:r w:rsidRPr="00630061">
        <w:t>46 departmental meetings</w:t>
      </w:r>
    </w:p>
    <w:p w14:paraId="39A3A405" w14:textId="7DD01DE2" w:rsidR="00812290" w:rsidRPr="00630061" w:rsidRDefault="00812290" w:rsidP="00933164">
      <w:pPr>
        <w:pStyle w:val="ListBullet"/>
      </w:pPr>
      <w:r w:rsidRPr="00630061">
        <w:t>2 briefs provided to minister</w:t>
      </w:r>
    </w:p>
    <w:p w14:paraId="7E5C2A41" w14:textId="44ACC7D6" w:rsidR="00812290" w:rsidRPr="00630061" w:rsidRDefault="00812290" w:rsidP="009E55B4">
      <w:pPr>
        <w:pStyle w:val="ListBullet"/>
      </w:pPr>
      <w:r w:rsidRPr="00630061">
        <w:t>1 senate estimates attended</w:t>
      </w:r>
      <w:r w:rsidR="001E1FC5" w:rsidRPr="00630061">
        <w:t>.</w:t>
      </w:r>
    </w:p>
    <w:p w14:paraId="0DA20A88" w14:textId="491A6150" w:rsidR="00A06D1D" w:rsidRDefault="006C4BC9" w:rsidP="00FF4C50">
      <w:pPr>
        <w:pStyle w:val="Heading2"/>
        <w:numPr>
          <w:ilvl w:val="0"/>
          <w:numId w:val="0"/>
        </w:numPr>
      </w:pPr>
      <w:bookmarkStart w:id="4" w:name="_Toc206400965"/>
      <w:r w:rsidRPr="00AD3342">
        <w:lastRenderedPageBreak/>
        <w:t>Inspector-General’s</w:t>
      </w:r>
      <w:r>
        <w:t xml:space="preserve"> f</w:t>
      </w:r>
      <w:r w:rsidR="00A06D1D">
        <w:t>or</w:t>
      </w:r>
      <w:r w:rsidR="00484A85">
        <w:t>e</w:t>
      </w:r>
      <w:r w:rsidR="00A06D1D" w:rsidRPr="006C4BC9">
        <w:t>w</w:t>
      </w:r>
      <w:r w:rsidR="00C53487" w:rsidRPr="006C4BC9">
        <w:t>o</w:t>
      </w:r>
      <w:r w:rsidR="00A06D1D">
        <w:t>rd</w:t>
      </w:r>
      <w:bookmarkEnd w:id="4"/>
    </w:p>
    <w:p w14:paraId="7D435B59" w14:textId="77777777" w:rsidR="001E05EE" w:rsidRDefault="00A06D1D" w:rsidP="00A06D1D">
      <w:pPr>
        <w:rPr>
          <w:lang w:eastAsia="ja-JP"/>
        </w:rPr>
      </w:pPr>
      <w:r w:rsidRPr="00006F92">
        <w:rPr>
          <w:noProof/>
          <w:lang w:eastAsia="ja-JP"/>
        </w:rPr>
        <w:drawing>
          <wp:inline distT="0" distB="0" distL="0" distR="0" wp14:anchorId="2613F8C2" wp14:editId="37AF84B7">
            <wp:extent cx="1638300" cy="1638300"/>
            <wp:effectExtent l="0" t="0" r="0" b="0"/>
            <wp:docPr id="17133326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32671"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28B305B3" w14:textId="65C2CD1A" w:rsidR="00A06D1D" w:rsidRPr="00006F92" w:rsidRDefault="00A06D1D" w:rsidP="00A06D1D">
      <w:pPr>
        <w:rPr>
          <w:lang w:eastAsia="ja-JP"/>
        </w:rPr>
      </w:pPr>
      <w:r w:rsidRPr="00006F92">
        <w:rPr>
          <w:lang w:eastAsia="ja-JP"/>
        </w:rPr>
        <w:t>It is with great pleasure that I present the Inspector-General of Animal Welfare and Live Animal Exports annual report for the year ended 30 June 2025.</w:t>
      </w:r>
    </w:p>
    <w:p w14:paraId="35936881" w14:textId="79939BB9" w:rsidR="00A06D1D" w:rsidRPr="00006F92" w:rsidRDefault="006C4BC9" w:rsidP="00A06D1D">
      <w:pPr>
        <w:rPr>
          <w:lang w:eastAsia="ja-JP"/>
        </w:rPr>
      </w:pPr>
      <w:r w:rsidRPr="006C4BC9">
        <w:rPr>
          <w:lang w:eastAsia="ja-JP"/>
        </w:rPr>
        <w:t xml:space="preserve">This is my first annual report in the role, which I commenced on 30 September. The document also contains information gathered by the previous acting </w:t>
      </w:r>
      <w:r w:rsidR="00492017" w:rsidRPr="006C4BC9">
        <w:rPr>
          <w:lang w:eastAsia="ja-JP"/>
        </w:rPr>
        <w:t>Inspector-General</w:t>
      </w:r>
      <w:r w:rsidRPr="006C4BC9">
        <w:rPr>
          <w:lang w:eastAsia="ja-JP"/>
        </w:rPr>
        <w:t>, Dr Michael Bond, and his team.</w:t>
      </w:r>
    </w:p>
    <w:p w14:paraId="731CE803" w14:textId="1BA14CBA" w:rsidR="00A06D1D" w:rsidRPr="00006F92" w:rsidRDefault="00A06D1D" w:rsidP="00A06D1D">
      <w:pPr>
        <w:rPr>
          <w:lang w:eastAsia="ja-JP"/>
        </w:rPr>
      </w:pPr>
      <w:r w:rsidRPr="00006F92">
        <w:rPr>
          <w:lang w:eastAsia="ja-JP"/>
        </w:rPr>
        <w:t>This annual report will show the important work of the office that has closely supported and allowed me to deliver on my role to monitor, investigate and report on the department’s implementation of animal welfare and live animal export legislation and standards.</w:t>
      </w:r>
    </w:p>
    <w:p w14:paraId="13C4B707" w14:textId="49E20430" w:rsidR="00A06D1D" w:rsidRPr="00006F92" w:rsidRDefault="00A06D1D" w:rsidP="006C4070">
      <w:pPr>
        <w:pStyle w:val="Heading3"/>
        <w:numPr>
          <w:ilvl w:val="0"/>
          <w:numId w:val="0"/>
        </w:numPr>
        <w:rPr>
          <w:lang w:eastAsia="ja-JP"/>
        </w:rPr>
      </w:pPr>
      <w:bookmarkStart w:id="5" w:name="_Toc206400966"/>
      <w:r w:rsidRPr="00707721">
        <w:rPr>
          <w:lang w:eastAsia="ja-JP"/>
        </w:rPr>
        <w:t>Our achievements</w:t>
      </w:r>
      <w:bookmarkEnd w:id="5"/>
    </w:p>
    <w:p w14:paraId="7CAE4A4D" w14:textId="72EB84AD" w:rsidR="00A06D1D" w:rsidRPr="00006F92" w:rsidRDefault="00A06D1D" w:rsidP="00A06D1D">
      <w:pPr>
        <w:rPr>
          <w:lang w:eastAsia="ja-JP"/>
        </w:rPr>
      </w:pPr>
      <w:r w:rsidRPr="00006F92">
        <w:rPr>
          <w:lang w:eastAsia="ja-JP"/>
        </w:rPr>
        <w:t xml:space="preserve">I acknowledge and sincerely thank the former </w:t>
      </w:r>
      <w:r w:rsidR="00871913">
        <w:rPr>
          <w:lang w:eastAsia="ja-JP"/>
        </w:rPr>
        <w:t>I</w:t>
      </w:r>
      <w:r w:rsidRPr="00006F92">
        <w:rPr>
          <w:lang w:eastAsia="ja-JP"/>
        </w:rPr>
        <w:t>nspector</w:t>
      </w:r>
      <w:r w:rsidR="00F72FD7">
        <w:rPr>
          <w:lang w:eastAsia="ja-JP"/>
        </w:rPr>
        <w:t>s</w:t>
      </w:r>
      <w:r w:rsidRPr="00006F92">
        <w:rPr>
          <w:lang w:eastAsia="ja-JP"/>
        </w:rPr>
        <w:t>-</w:t>
      </w:r>
      <w:r w:rsidR="00871913">
        <w:rPr>
          <w:lang w:eastAsia="ja-JP"/>
        </w:rPr>
        <w:t>G</w:t>
      </w:r>
      <w:r w:rsidRPr="00006F92">
        <w:rPr>
          <w:lang w:eastAsia="ja-JP"/>
        </w:rPr>
        <w:t xml:space="preserve">eneral Ross Carter </w:t>
      </w:r>
      <w:r w:rsidRPr="00145C25">
        <w:rPr>
          <w:lang w:eastAsia="ja-JP"/>
        </w:rPr>
        <w:t>and Dr Mi</w:t>
      </w:r>
      <w:r w:rsidR="004171F2" w:rsidRPr="00145C25">
        <w:rPr>
          <w:lang w:eastAsia="ja-JP"/>
        </w:rPr>
        <w:t>chael</w:t>
      </w:r>
      <w:r w:rsidRPr="00006F92">
        <w:rPr>
          <w:lang w:eastAsia="ja-JP"/>
        </w:rPr>
        <w:t xml:space="preserve"> Bond for their significant contributions in establishing a strong foundation for the role. Their commitment to integrity, transparency and continuous improvement has been instrumental in shaping a robust and independent oversight framework for the livestock export sector.</w:t>
      </w:r>
    </w:p>
    <w:p w14:paraId="4565661B" w14:textId="038B9075" w:rsidR="00A06D1D" w:rsidRDefault="00A06D1D" w:rsidP="00A06D1D">
      <w:pPr>
        <w:rPr>
          <w:lang w:eastAsia="ja-JP"/>
        </w:rPr>
      </w:pPr>
      <w:r w:rsidRPr="00006F92">
        <w:rPr>
          <w:lang w:eastAsia="ja-JP"/>
        </w:rPr>
        <w:t xml:space="preserve">I am also very appreciative of my small but highly capable team for their dedication, professionalism and unwavering support. Despite our size, the team has consistently </w:t>
      </w:r>
      <w:r w:rsidRPr="00145C25">
        <w:rPr>
          <w:lang w:eastAsia="ja-JP"/>
        </w:rPr>
        <w:t>delivered high</w:t>
      </w:r>
      <w:r w:rsidR="002C790C" w:rsidRPr="00145C25">
        <w:rPr>
          <w:lang w:eastAsia="ja-JP"/>
        </w:rPr>
        <w:t>-</w:t>
      </w:r>
      <w:r w:rsidRPr="00145C25">
        <w:rPr>
          <w:lang w:eastAsia="ja-JP"/>
        </w:rPr>
        <w:t>quality</w:t>
      </w:r>
      <w:r w:rsidRPr="00006F92">
        <w:rPr>
          <w:lang w:eastAsia="ja-JP"/>
        </w:rPr>
        <w:t xml:space="preserve"> work and their commitment to integrity and excellence has been critical to achieving our objectives and maintaining strong credible oversight.</w:t>
      </w:r>
    </w:p>
    <w:p w14:paraId="718072B5" w14:textId="7B1956D0" w:rsidR="00492017" w:rsidRPr="00006F92" w:rsidRDefault="00492017" w:rsidP="00A06D1D">
      <w:pPr>
        <w:rPr>
          <w:lang w:eastAsia="ja-JP"/>
        </w:rPr>
      </w:pPr>
      <w:r w:rsidRPr="00492017">
        <w:rPr>
          <w:lang w:eastAsia="ja-JP"/>
        </w:rPr>
        <w:t xml:space="preserve">As I am not a Commonwealth entity under the </w:t>
      </w:r>
      <w:r w:rsidRPr="004F2C8A">
        <w:rPr>
          <w:i/>
          <w:iCs/>
          <w:lang w:eastAsia="ja-JP"/>
        </w:rPr>
        <w:t>Public Governance, Performance and Accountability</w:t>
      </w:r>
      <w:r w:rsidRPr="00492017">
        <w:rPr>
          <w:lang w:eastAsia="ja-JP"/>
        </w:rPr>
        <w:t xml:space="preserve"> Act 2013, </w:t>
      </w:r>
      <w:r>
        <w:rPr>
          <w:lang w:eastAsia="ja-JP"/>
        </w:rPr>
        <w:t>the department</w:t>
      </w:r>
      <w:r w:rsidRPr="00492017">
        <w:rPr>
          <w:lang w:eastAsia="ja-JP"/>
        </w:rPr>
        <w:t xml:space="preserve"> provides enabling services for me to fulfil my functions. I would like to express my gratitude for the assistance provided by </w:t>
      </w:r>
      <w:r>
        <w:rPr>
          <w:lang w:eastAsia="ja-JP"/>
        </w:rPr>
        <w:t>the department</w:t>
      </w:r>
      <w:r w:rsidR="001A25E7">
        <w:rPr>
          <w:lang w:eastAsia="ja-JP"/>
        </w:rPr>
        <w:t>.</w:t>
      </w:r>
    </w:p>
    <w:p w14:paraId="5E0AF6A5" w14:textId="77777777" w:rsidR="00A06D1D" w:rsidRPr="00630061" w:rsidRDefault="00A06D1D" w:rsidP="002C790C">
      <w:pPr>
        <w:pStyle w:val="Heading3"/>
        <w:numPr>
          <w:ilvl w:val="0"/>
          <w:numId w:val="0"/>
        </w:numPr>
        <w:rPr>
          <w:lang w:eastAsia="ja-JP"/>
        </w:rPr>
      </w:pPr>
      <w:bookmarkStart w:id="6" w:name="_Toc206400967"/>
      <w:r w:rsidRPr="00630061">
        <w:rPr>
          <w:lang w:eastAsia="ja-JP"/>
        </w:rPr>
        <w:t>Reviews</w:t>
      </w:r>
      <w:bookmarkEnd w:id="6"/>
    </w:p>
    <w:p w14:paraId="65A4F3CD" w14:textId="42FD3D2A" w:rsidR="00A06D1D" w:rsidRPr="00006F92" w:rsidRDefault="00A06D1D" w:rsidP="00A06D1D">
      <w:pPr>
        <w:rPr>
          <w:lang w:eastAsia="ja-JP"/>
        </w:rPr>
      </w:pPr>
      <w:r w:rsidRPr="00630061">
        <w:rPr>
          <w:lang w:eastAsia="ja-JP"/>
        </w:rPr>
        <w:t xml:space="preserve">On 20 August 2024, Dr Bond completed his tenure as acting IGAWLAE by publishing </w:t>
      </w:r>
      <w:r w:rsidR="00E93337" w:rsidRPr="00630061">
        <w:rPr>
          <w:lang w:eastAsia="ja-JP"/>
        </w:rPr>
        <w:t>2</w:t>
      </w:r>
      <w:r w:rsidRPr="00630061">
        <w:rPr>
          <w:lang w:eastAsia="ja-JP"/>
        </w:rPr>
        <w:t xml:space="preserve"> reviews.</w:t>
      </w:r>
    </w:p>
    <w:p w14:paraId="0429F3D7" w14:textId="77777777" w:rsidR="00A06D1D" w:rsidRPr="001D180F" w:rsidRDefault="00A06D1D" w:rsidP="00A06D1D">
      <w:pPr>
        <w:rPr>
          <w:lang w:eastAsia="ja-JP"/>
        </w:rPr>
      </w:pPr>
      <w:r w:rsidRPr="00006F92">
        <w:rPr>
          <w:lang w:eastAsia="ja-JP"/>
        </w:rPr>
        <w:t xml:space="preserve">These reviews were on </w:t>
      </w:r>
      <w:r w:rsidRPr="001D180F">
        <w:rPr>
          <w:lang w:eastAsia="ja-JP"/>
        </w:rPr>
        <w:t xml:space="preserve">the </w:t>
      </w:r>
      <w:r w:rsidRPr="006A2B3D">
        <w:rPr>
          <w:rStyle w:val="Emphasis"/>
        </w:rPr>
        <w:t>Independent Observer Program</w:t>
      </w:r>
      <w:r w:rsidRPr="001D180F">
        <w:rPr>
          <w:lang w:eastAsia="ja-JP"/>
        </w:rPr>
        <w:t xml:space="preserve"> and the </w:t>
      </w:r>
      <w:r w:rsidRPr="006A2B3D">
        <w:rPr>
          <w:rStyle w:val="Emphasis"/>
        </w:rPr>
        <w:t>Implementation of Inspector-General of Live Animal Exports recommendations</w:t>
      </w:r>
      <w:r w:rsidRPr="001D180F">
        <w:rPr>
          <w:lang w:eastAsia="ja-JP"/>
        </w:rPr>
        <w:t>.</w:t>
      </w:r>
    </w:p>
    <w:p w14:paraId="587C35F4" w14:textId="0A689EED" w:rsidR="00A06D1D" w:rsidRPr="00006F92" w:rsidRDefault="00A06D1D" w:rsidP="00A06D1D">
      <w:pPr>
        <w:rPr>
          <w:lang w:eastAsia="ja-JP"/>
        </w:rPr>
      </w:pPr>
      <w:r w:rsidRPr="001D180F">
        <w:rPr>
          <w:lang w:eastAsia="ja-JP"/>
        </w:rPr>
        <w:t xml:space="preserve">The </w:t>
      </w:r>
      <w:r w:rsidRPr="006A2B3D">
        <w:rPr>
          <w:rStyle w:val="Emphasis"/>
        </w:rPr>
        <w:t>Implementation of Inspector-General of Live Animal Exports recommendations</w:t>
      </w:r>
      <w:r w:rsidRPr="001D180F">
        <w:rPr>
          <w:lang w:eastAsia="ja-JP"/>
        </w:rPr>
        <w:t xml:space="preserve"> considered the status of all recommendations since the role was established in 2019. To maximise the effectiveness of the inspector-general’s role, the department</w:t>
      </w:r>
      <w:r w:rsidR="00145C25" w:rsidRPr="001D180F">
        <w:rPr>
          <w:lang w:eastAsia="ja-JP"/>
        </w:rPr>
        <w:t xml:space="preserve"> must</w:t>
      </w:r>
      <w:r w:rsidRPr="001D180F">
        <w:rPr>
          <w:lang w:eastAsia="ja-JP"/>
        </w:rPr>
        <w:t xml:space="preserve"> make every effort to fully implement </w:t>
      </w:r>
      <w:r w:rsidR="00145C25" w:rsidRPr="001D180F">
        <w:rPr>
          <w:lang w:eastAsia="ja-JP"/>
        </w:rPr>
        <w:t xml:space="preserve">and close </w:t>
      </w:r>
      <w:r w:rsidRPr="001D180F">
        <w:rPr>
          <w:lang w:eastAsia="ja-JP"/>
        </w:rPr>
        <w:lastRenderedPageBreak/>
        <w:t>all agreed recommendations. In summary, only a small number of the recommendations have been formally closed.</w:t>
      </w:r>
    </w:p>
    <w:p w14:paraId="6D2C0412" w14:textId="12B5E256" w:rsidR="00145C25" w:rsidRDefault="00145C25" w:rsidP="00A06D1D">
      <w:pPr>
        <w:rPr>
          <w:highlight w:val="green"/>
          <w:lang w:eastAsia="ja-JP"/>
        </w:rPr>
      </w:pPr>
      <w:r w:rsidRPr="00145C25">
        <w:rPr>
          <w:lang w:eastAsia="ja-JP"/>
        </w:rPr>
        <w:t>The department has made some significant improvements in its engagement and communication with stakeholders, regulatory practice, information technology systems, data capture and analytics.</w:t>
      </w:r>
      <w:r w:rsidRPr="00145C25">
        <w:t xml:space="preserve"> </w:t>
      </w:r>
      <w:r w:rsidRPr="00145C25">
        <w:rPr>
          <w:lang w:eastAsia="ja-JP"/>
        </w:rPr>
        <w:t>However, not all closed recommendations have been fully implemented, implemented in a timely manner. In some cases, implementation did not achieve the original intent of the recommendations.</w:t>
      </w:r>
    </w:p>
    <w:p w14:paraId="093BE1F2" w14:textId="13A25EA7" w:rsidR="00A06D1D" w:rsidRPr="00006F92" w:rsidRDefault="00A06D1D" w:rsidP="00A06D1D">
      <w:pPr>
        <w:rPr>
          <w:lang w:eastAsia="ja-JP"/>
        </w:rPr>
      </w:pPr>
      <w:r w:rsidRPr="00006F92">
        <w:rPr>
          <w:lang w:eastAsia="ja-JP"/>
        </w:rPr>
        <w:t>There appears to be a lack of accountability for implementing recommendations within the timeframes initially indicated by the department. The timelines for implementation of recommendations often appear to be extended at a later stage as an administrative convenience, rather than based on a rigorous assessment of the overall system risk of delaying implementation.</w:t>
      </w:r>
    </w:p>
    <w:p w14:paraId="5957B9A2" w14:textId="7676212D" w:rsidR="00A06D1D" w:rsidRPr="00006F92" w:rsidRDefault="00A06D1D" w:rsidP="00A06D1D">
      <w:pPr>
        <w:rPr>
          <w:lang w:eastAsia="ja-JP"/>
        </w:rPr>
      </w:pPr>
      <w:r w:rsidRPr="00006F92">
        <w:rPr>
          <w:lang w:eastAsia="ja-JP"/>
        </w:rPr>
        <w:t xml:space="preserve">The status of the review recommendations as of 30 June 2025 has been provided to my office by the department and is </w:t>
      </w:r>
      <w:r w:rsidRPr="00145C25">
        <w:rPr>
          <w:lang w:eastAsia="ja-JP"/>
        </w:rPr>
        <w:t xml:space="preserve">included at </w:t>
      </w:r>
      <w:hyperlink w:anchor="_Appendix_B:_Recommendation" w:history="1">
        <w:r w:rsidRPr="006A2B3D">
          <w:rPr>
            <w:rStyle w:val="Hyperlink"/>
          </w:rPr>
          <w:t>Appendix B</w:t>
        </w:r>
      </w:hyperlink>
      <w:r w:rsidRPr="00145C25">
        <w:rPr>
          <w:lang w:eastAsia="ja-JP"/>
        </w:rPr>
        <w:t>. It has</w:t>
      </w:r>
      <w:r w:rsidRPr="00006F92">
        <w:rPr>
          <w:lang w:eastAsia="ja-JP"/>
        </w:rPr>
        <w:t xml:space="preserve"> been </w:t>
      </w:r>
      <w:r w:rsidR="00217505">
        <w:rPr>
          <w:lang w:eastAsia="ja-JP"/>
        </w:rPr>
        <w:t>more than 2</w:t>
      </w:r>
      <w:r w:rsidRPr="00006F92">
        <w:rPr>
          <w:lang w:eastAsia="ja-JP"/>
        </w:rPr>
        <w:t xml:space="preserve"> years since a review recommendation was closed and there has been no change in status in this reporting period.</w:t>
      </w:r>
    </w:p>
    <w:p w14:paraId="157968F3" w14:textId="77777777" w:rsidR="00A06D1D" w:rsidRPr="00006F92" w:rsidRDefault="00A06D1D" w:rsidP="00A06D1D">
      <w:pPr>
        <w:rPr>
          <w:lang w:eastAsia="ja-JP"/>
        </w:rPr>
      </w:pPr>
      <w:r w:rsidRPr="00006F92">
        <w:rPr>
          <w:lang w:eastAsia="ja-JP"/>
        </w:rPr>
        <w:t>I encourage the department to prioritise efforts to implement review recommendations in a timely manner.</w:t>
      </w:r>
    </w:p>
    <w:p w14:paraId="6DBBF7BC" w14:textId="010ECBB9" w:rsidR="00A06D1D" w:rsidRPr="00006F92" w:rsidRDefault="00A06D1D" w:rsidP="004A4945">
      <w:pPr>
        <w:pStyle w:val="Heading3"/>
        <w:numPr>
          <w:ilvl w:val="0"/>
          <w:numId w:val="0"/>
        </w:numPr>
        <w:rPr>
          <w:lang w:eastAsia="ja-JP"/>
        </w:rPr>
      </w:pPr>
      <w:bookmarkStart w:id="7" w:name="_Toc206400968"/>
      <w:r w:rsidRPr="006A2B3D">
        <w:rPr>
          <w:lang w:eastAsia="ja-JP"/>
        </w:rPr>
        <w:t xml:space="preserve">Commencement of </w:t>
      </w:r>
      <w:r w:rsidRPr="00D361B6">
        <w:rPr>
          <w:lang w:eastAsia="ja-JP"/>
        </w:rPr>
        <w:t xml:space="preserve">new </w:t>
      </w:r>
      <w:r w:rsidR="00145C25" w:rsidRPr="00D361B6">
        <w:rPr>
          <w:lang w:eastAsia="ja-JP"/>
        </w:rPr>
        <w:t>I</w:t>
      </w:r>
      <w:r w:rsidRPr="00D361B6">
        <w:rPr>
          <w:lang w:eastAsia="ja-JP"/>
        </w:rPr>
        <w:t>nspector-</w:t>
      </w:r>
      <w:r w:rsidR="00145C25" w:rsidRPr="00D361B6">
        <w:rPr>
          <w:lang w:eastAsia="ja-JP"/>
        </w:rPr>
        <w:t>G</w:t>
      </w:r>
      <w:r w:rsidRPr="00D361B6">
        <w:rPr>
          <w:lang w:eastAsia="ja-JP"/>
        </w:rPr>
        <w:t>eneral</w:t>
      </w:r>
      <w:bookmarkEnd w:id="7"/>
    </w:p>
    <w:p w14:paraId="6F16923B" w14:textId="20B45402" w:rsidR="00FB16BD" w:rsidRDefault="00A06D1D" w:rsidP="00A06D1D">
      <w:pPr>
        <w:rPr>
          <w:lang w:eastAsia="ja-JP"/>
        </w:rPr>
      </w:pPr>
      <w:r w:rsidRPr="00006F92">
        <w:rPr>
          <w:lang w:eastAsia="ja-JP"/>
        </w:rPr>
        <w:t xml:space="preserve">Since taking </w:t>
      </w:r>
      <w:r w:rsidRPr="00145C25">
        <w:rPr>
          <w:lang w:eastAsia="ja-JP"/>
        </w:rPr>
        <w:t>up my role</w:t>
      </w:r>
      <w:r w:rsidR="004A4945" w:rsidRPr="00145C25">
        <w:rPr>
          <w:lang w:eastAsia="ja-JP"/>
        </w:rPr>
        <w:t>,</w:t>
      </w:r>
      <w:r w:rsidRPr="00145C25">
        <w:rPr>
          <w:lang w:eastAsia="ja-JP"/>
        </w:rPr>
        <w:t xml:space="preserve"> I have</w:t>
      </w:r>
      <w:r w:rsidRPr="00006F92">
        <w:rPr>
          <w:lang w:eastAsia="ja-JP"/>
        </w:rPr>
        <w:t xml:space="preserve"> consulted extensively with </w:t>
      </w:r>
      <w:r w:rsidR="00FB16BD">
        <w:rPr>
          <w:lang w:eastAsia="ja-JP"/>
        </w:rPr>
        <w:t>the following:</w:t>
      </w:r>
    </w:p>
    <w:p w14:paraId="7E8152FA" w14:textId="41C829D5" w:rsidR="00FB16BD" w:rsidRPr="00630061" w:rsidRDefault="00FB16BD" w:rsidP="00FB16BD">
      <w:pPr>
        <w:pStyle w:val="ListBullet"/>
        <w:rPr>
          <w:lang w:eastAsia="ja-JP"/>
        </w:rPr>
      </w:pPr>
      <w:r w:rsidRPr="00630061">
        <w:rPr>
          <w:lang w:eastAsia="ja-JP"/>
        </w:rPr>
        <w:t>Department of Agriculture, Fisheries and Forestry staff</w:t>
      </w:r>
    </w:p>
    <w:p w14:paraId="2129AD5B" w14:textId="5C195ED8" w:rsidR="00FB16BD" w:rsidRPr="00630061" w:rsidRDefault="00AD3342" w:rsidP="00FB16BD">
      <w:pPr>
        <w:pStyle w:val="ListBullet"/>
        <w:rPr>
          <w:lang w:eastAsia="ja-JP"/>
        </w:rPr>
      </w:pPr>
      <w:r w:rsidRPr="00630061">
        <w:rPr>
          <w:lang w:eastAsia="ja-JP"/>
        </w:rPr>
        <w:t>exporters</w:t>
      </w:r>
    </w:p>
    <w:p w14:paraId="142AE025" w14:textId="5D324DDA" w:rsidR="00FB16BD" w:rsidRPr="00630061" w:rsidRDefault="00AD3342" w:rsidP="00FB16BD">
      <w:pPr>
        <w:pStyle w:val="ListBullet"/>
        <w:rPr>
          <w:lang w:eastAsia="ja-JP"/>
        </w:rPr>
      </w:pPr>
      <w:r w:rsidRPr="00630061">
        <w:rPr>
          <w:lang w:eastAsia="ja-JP"/>
        </w:rPr>
        <w:t>veterinarians</w:t>
      </w:r>
    </w:p>
    <w:p w14:paraId="398BB43C" w14:textId="01E30BF5" w:rsidR="00FB16BD" w:rsidRPr="00630061" w:rsidRDefault="00AD3342" w:rsidP="00FB16BD">
      <w:pPr>
        <w:pStyle w:val="ListBullet"/>
        <w:rPr>
          <w:lang w:eastAsia="ja-JP"/>
        </w:rPr>
      </w:pPr>
      <w:r w:rsidRPr="00630061">
        <w:rPr>
          <w:lang w:eastAsia="ja-JP"/>
        </w:rPr>
        <w:t>industry bodies</w:t>
      </w:r>
    </w:p>
    <w:p w14:paraId="16A7B8CC" w14:textId="22B853C6" w:rsidR="00FB16BD" w:rsidRPr="00630061" w:rsidRDefault="00AD3342" w:rsidP="00FB16BD">
      <w:pPr>
        <w:pStyle w:val="ListBullet"/>
        <w:rPr>
          <w:lang w:eastAsia="ja-JP"/>
        </w:rPr>
      </w:pPr>
      <w:r w:rsidRPr="00630061">
        <w:rPr>
          <w:lang w:eastAsia="ja-JP"/>
        </w:rPr>
        <w:t>registered establishments</w:t>
      </w:r>
    </w:p>
    <w:p w14:paraId="2C391941" w14:textId="3C27F99B" w:rsidR="00FB16BD" w:rsidRPr="00630061" w:rsidRDefault="00AD3342" w:rsidP="00FB16BD">
      <w:pPr>
        <w:pStyle w:val="ListBullet"/>
        <w:rPr>
          <w:lang w:eastAsia="ja-JP"/>
        </w:rPr>
      </w:pPr>
      <w:r w:rsidRPr="00630061">
        <w:rPr>
          <w:lang w:eastAsia="ja-JP"/>
        </w:rPr>
        <w:t>animal welfare groups</w:t>
      </w:r>
      <w:r w:rsidR="002C5275" w:rsidRPr="00630061">
        <w:rPr>
          <w:lang w:eastAsia="ja-JP"/>
        </w:rPr>
        <w:t>.</w:t>
      </w:r>
    </w:p>
    <w:p w14:paraId="5FAB1A02" w14:textId="5191CBD4" w:rsidR="00FB16BD" w:rsidRDefault="00FB16BD" w:rsidP="00A06D1D">
      <w:pPr>
        <w:rPr>
          <w:lang w:eastAsia="ja-JP"/>
        </w:rPr>
      </w:pPr>
      <w:r>
        <w:rPr>
          <w:lang w:eastAsia="ja-JP"/>
        </w:rPr>
        <w:t>This has</w:t>
      </w:r>
      <w:r w:rsidRPr="00006F92">
        <w:rPr>
          <w:lang w:eastAsia="ja-JP"/>
        </w:rPr>
        <w:t xml:space="preserve"> increase</w:t>
      </w:r>
      <w:r>
        <w:rPr>
          <w:lang w:eastAsia="ja-JP"/>
        </w:rPr>
        <w:t>d</w:t>
      </w:r>
      <w:r w:rsidRPr="00006F92">
        <w:rPr>
          <w:lang w:eastAsia="ja-JP"/>
        </w:rPr>
        <w:t xml:space="preserve"> my understanding of the challenges and opportunities facing the live animal export industry welfare and the regulatory system that supports it.</w:t>
      </w:r>
    </w:p>
    <w:p w14:paraId="5F1BCFBF" w14:textId="2DEB173B" w:rsidR="00A06D1D" w:rsidRPr="00006F92" w:rsidRDefault="00A06D1D" w:rsidP="00A06D1D">
      <w:pPr>
        <w:rPr>
          <w:lang w:eastAsia="ja-JP"/>
        </w:rPr>
      </w:pPr>
      <w:r w:rsidRPr="00006F92">
        <w:rPr>
          <w:lang w:eastAsia="ja-JP"/>
        </w:rPr>
        <w:t xml:space="preserve">My team and I have travelled to Darwin and Western Australia </w:t>
      </w:r>
      <w:r w:rsidRPr="00145C25">
        <w:rPr>
          <w:lang w:eastAsia="ja-JP"/>
        </w:rPr>
        <w:t xml:space="preserve">to see firsthand several registered establishment facilities, the inspection processes and livestock being loaded for export. We have also received demonstrations of critical </w:t>
      </w:r>
      <w:r w:rsidR="00DD6ACE" w:rsidRPr="00145C25">
        <w:rPr>
          <w:lang w:eastAsia="ja-JP"/>
        </w:rPr>
        <w:t>data collection, management and analysis platforms</w:t>
      </w:r>
      <w:r w:rsidRPr="00145C25">
        <w:rPr>
          <w:lang w:eastAsia="ja-JP"/>
        </w:rPr>
        <w:t xml:space="preserve"> such</w:t>
      </w:r>
      <w:r w:rsidRPr="00006F92">
        <w:rPr>
          <w:lang w:eastAsia="ja-JP"/>
        </w:rPr>
        <w:t xml:space="preserve"> as </w:t>
      </w:r>
      <w:r w:rsidR="001D180F">
        <w:rPr>
          <w:lang w:eastAsia="ja-JP"/>
        </w:rPr>
        <w:t xml:space="preserve">the Tracking Animal Certification for </w:t>
      </w:r>
      <w:r w:rsidR="001D180F" w:rsidRPr="001D180F">
        <w:rPr>
          <w:lang w:eastAsia="ja-JP"/>
        </w:rPr>
        <w:t xml:space="preserve">Export </w:t>
      </w:r>
      <w:r w:rsidR="001D180F">
        <w:rPr>
          <w:lang w:eastAsia="ja-JP"/>
        </w:rPr>
        <w:t>(</w:t>
      </w:r>
      <w:r w:rsidRPr="001D180F">
        <w:rPr>
          <w:lang w:eastAsia="ja-JP"/>
        </w:rPr>
        <w:t>TRACE</w:t>
      </w:r>
      <w:r w:rsidR="001D180F">
        <w:rPr>
          <w:lang w:eastAsia="ja-JP"/>
        </w:rPr>
        <w:t>)</w:t>
      </w:r>
      <w:r w:rsidRPr="001D180F">
        <w:rPr>
          <w:lang w:eastAsia="ja-JP"/>
        </w:rPr>
        <w:t xml:space="preserve"> and LIVEXCollect</w:t>
      </w:r>
      <w:r w:rsidR="001D180F">
        <w:rPr>
          <w:lang w:eastAsia="ja-JP"/>
        </w:rPr>
        <w:t xml:space="preserve"> systems</w:t>
      </w:r>
      <w:r w:rsidRPr="00006F92">
        <w:rPr>
          <w:lang w:eastAsia="ja-JP"/>
        </w:rPr>
        <w:t>. I would like to acknowledge the significant cooperation and generosity of all those people who made their time available and shared their knowledge and insights.</w:t>
      </w:r>
    </w:p>
    <w:p w14:paraId="48FDB451" w14:textId="59FC753E" w:rsidR="00A06D1D" w:rsidRPr="00630061" w:rsidRDefault="00A06D1D" w:rsidP="00350062">
      <w:pPr>
        <w:pStyle w:val="Heading3"/>
        <w:numPr>
          <w:ilvl w:val="0"/>
          <w:numId w:val="0"/>
        </w:numPr>
        <w:ind w:left="964" w:hanging="964"/>
        <w:rPr>
          <w:lang w:eastAsia="ja-JP"/>
        </w:rPr>
      </w:pPr>
      <w:bookmarkStart w:id="8" w:name="_Toc206400969"/>
      <w:r w:rsidRPr="00630061">
        <w:rPr>
          <w:lang w:eastAsia="ja-JP"/>
        </w:rPr>
        <w:t>Work plan</w:t>
      </w:r>
      <w:r w:rsidR="002447DB" w:rsidRPr="00630061">
        <w:rPr>
          <w:lang w:eastAsia="ja-JP"/>
        </w:rPr>
        <w:t xml:space="preserve"> 20</w:t>
      </w:r>
      <w:r w:rsidR="00B0375D" w:rsidRPr="00630061">
        <w:rPr>
          <w:lang w:eastAsia="ja-JP"/>
        </w:rPr>
        <w:t>24–25</w:t>
      </w:r>
      <w:bookmarkEnd w:id="8"/>
    </w:p>
    <w:p w14:paraId="47FB70C6" w14:textId="314E6E25" w:rsidR="00A06D1D" w:rsidRPr="00630061" w:rsidRDefault="00A06D1D" w:rsidP="00A06D1D">
      <w:pPr>
        <w:rPr>
          <w:lang w:eastAsia="ja-JP"/>
        </w:rPr>
      </w:pPr>
      <w:r w:rsidRPr="00630061">
        <w:rPr>
          <w:lang w:eastAsia="ja-JP"/>
        </w:rPr>
        <w:t xml:space="preserve">Under the </w:t>
      </w:r>
      <w:r w:rsidR="001D180F" w:rsidRPr="00630061">
        <w:rPr>
          <w:rStyle w:val="Emphasis"/>
          <w:lang w:eastAsia="ja-JP"/>
        </w:rPr>
        <w:t>Inspector-General of Animal Welfare and Live Animal Exports Act 2019</w:t>
      </w:r>
      <w:r w:rsidR="001D180F" w:rsidRPr="00630061">
        <w:rPr>
          <w:lang w:eastAsia="ja-JP"/>
        </w:rPr>
        <w:t xml:space="preserve"> (IGAWLAE Act) </w:t>
      </w:r>
      <w:r w:rsidR="000B2D1D">
        <w:rPr>
          <w:lang w:eastAsia="ja-JP"/>
        </w:rPr>
        <w:t xml:space="preserve">I am </w:t>
      </w:r>
      <w:r w:rsidRPr="00630061">
        <w:rPr>
          <w:lang w:eastAsia="ja-JP"/>
        </w:rPr>
        <w:t xml:space="preserve">required to prepare and publish an </w:t>
      </w:r>
      <w:hyperlink r:id="rId18" w:history="1">
        <w:r w:rsidR="00830297" w:rsidRPr="00630061">
          <w:rPr>
            <w:rStyle w:val="Hyperlink"/>
            <w:lang w:eastAsia="ja-JP"/>
          </w:rPr>
          <w:t>annual work plan</w:t>
        </w:r>
      </w:hyperlink>
      <w:r w:rsidRPr="00630061">
        <w:rPr>
          <w:lang w:eastAsia="ja-JP"/>
        </w:rPr>
        <w:t xml:space="preserve"> outlining details of our oversight activities each financial year. The input from industry and other stakeholders has</w:t>
      </w:r>
      <w:r w:rsidRPr="00006F92">
        <w:rPr>
          <w:lang w:eastAsia="ja-JP"/>
        </w:rPr>
        <w:t xml:space="preserve"> been invaluable as I identified potential inclusions for this year and future years’ work plan. In the development of the </w:t>
      </w:r>
      <w:r w:rsidRPr="001D180F">
        <w:rPr>
          <w:lang w:eastAsia="ja-JP"/>
        </w:rPr>
        <w:t>2024</w:t>
      </w:r>
      <w:r w:rsidR="001D180F">
        <w:rPr>
          <w:lang w:eastAsia="ja-JP"/>
        </w:rPr>
        <w:t>–</w:t>
      </w:r>
      <w:r w:rsidRPr="001D180F">
        <w:rPr>
          <w:lang w:eastAsia="ja-JP"/>
        </w:rPr>
        <w:t xml:space="preserve">25 </w:t>
      </w:r>
      <w:r w:rsidRPr="001D180F">
        <w:rPr>
          <w:lang w:eastAsia="ja-JP"/>
        </w:rPr>
        <w:lastRenderedPageBreak/>
        <w:t>work plan</w:t>
      </w:r>
      <w:r w:rsidRPr="00006F92">
        <w:rPr>
          <w:lang w:eastAsia="ja-JP"/>
        </w:rPr>
        <w:t xml:space="preserve"> I also </w:t>
      </w:r>
      <w:r w:rsidRPr="001D180F">
        <w:rPr>
          <w:lang w:eastAsia="ja-JP"/>
        </w:rPr>
        <w:t xml:space="preserve">consulted with DAFF and </w:t>
      </w:r>
      <w:r w:rsidRPr="00DD0422">
        <w:rPr>
          <w:lang w:eastAsia="ja-JP"/>
        </w:rPr>
        <w:t>Minister Collins. My work</w:t>
      </w:r>
      <w:r w:rsidRPr="001D180F">
        <w:rPr>
          <w:lang w:eastAsia="ja-JP"/>
        </w:rPr>
        <w:t xml:space="preserve"> plan </w:t>
      </w:r>
      <w:r w:rsidRPr="00630061">
        <w:rPr>
          <w:lang w:eastAsia="ja-JP"/>
        </w:rPr>
        <w:t xml:space="preserve">was published on 31 January 2025, and I have commenced </w:t>
      </w:r>
      <w:r w:rsidR="001D180F" w:rsidRPr="00630061">
        <w:rPr>
          <w:lang w:eastAsia="ja-JP"/>
        </w:rPr>
        <w:t xml:space="preserve">2 </w:t>
      </w:r>
      <w:r w:rsidRPr="00630061">
        <w:rPr>
          <w:lang w:eastAsia="ja-JP"/>
        </w:rPr>
        <w:t>reviews</w:t>
      </w:r>
      <w:r w:rsidR="006807F3" w:rsidRPr="00630061">
        <w:rPr>
          <w:lang w:eastAsia="ja-JP"/>
        </w:rPr>
        <w:t>:</w:t>
      </w:r>
    </w:p>
    <w:p w14:paraId="2ED44C5C" w14:textId="77777777" w:rsidR="006807F3" w:rsidRPr="00630061" w:rsidRDefault="00A06D1D" w:rsidP="007A3497">
      <w:pPr>
        <w:pStyle w:val="ListNumber"/>
        <w:rPr>
          <w:lang w:eastAsia="ja-JP"/>
        </w:rPr>
      </w:pPr>
      <w:r w:rsidRPr="00630061">
        <w:rPr>
          <w:lang w:eastAsia="ja-JP"/>
        </w:rPr>
        <w:t>Review of the Department of Agriculture, Fisheries and Forestry’s responses to significant livestock export incidents.</w:t>
      </w:r>
    </w:p>
    <w:p w14:paraId="1422449C" w14:textId="086449F8" w:rsidR="00A06D1D" w:rsidRPr="00630061" w:rsidRDefault="009E3746" w:rsidP="007A3497">
      <w:pPr>
        <w:pStyle w:val="ListNumber"/>
        <w:rPr>
          <w:lang w:eastAsia="ja-JP"/>
        </w:rPr>
      </w:pPr>
      <w:r w:rsidRPr="00630061">
        <w:rPr>
          <w:lang w:eastAsia="ja-JP"/>
        </w:rPr>
        <w:t>P</w:t>
      </w:r>
      <w:r w:rsidR="00A06D1D" w:rsidRPr="00630061">
        <w:rPr>
          <w:lang w:eastAsia="ja-JP"/>
        </w:rPr>
        <w:t>reparation of livestock for export.</w:t>
      </w:r>
    </w:p>
    <w:p w14:paraId="01AEBEA3" w14:textId="6820DE64" w:rsidR="00A06D1D" w:rsidRPr="00006F92" w:rsidRDefault="006807F3" w:rsidP="00A06D1D">
      <w:pPr>
        <w:rPr>
          <w:lang w:eastAsia="ja-JP"/>
        </w:rPr>
      </w:pPr>
      <w:r>
        <w:rPr>
          <w:lang w:eastAsia="ja-JP"/>
        </w:rPr>
        <w:t>W</w:t>
      </w:r>
      <w:r w:rsidR="00A06D1D" w:rsidRPr="00006F92">
        <w:rPr>
          <w:lang w:eastAsia="ja-JP"/>
        </w:rPr>
        <w:t xml:space="preserve">e opened a public </w:t>
      </w:r>
      <w:r w:rsidR="00A06D1D" w:rsidRPr="009F37BE">
        <w:rPr>
          <w:lang w:eastAsia="ja-JP"/>
        </w:rPr>
        <w:t>submission process</w:t>
      </w:r>
      <w:r w:rsidR="009F37BE" w:rsidRPr="009F37BE">
        <w:rPr>
          <w:lang w:eastAsia="ja-JP"/>
        </w:rPr>
        <w:t>,</w:t>
      </w:r>
      <w:r w:rsidR="009F37BE">
        <w:rPr>
          <w:lang w:eastAsia="ja-JP"/>
        </w:rPr>
        <w:t xml:space="preserve"> </w:t>
      </w:r>
      <w:r w:rsidR="00A06D1D" w:rsidRPr="009F37BE">
        <w:rPr>
          <w:lang w:eastAsia="ja-JP"/>
        </w:rPr>
        <w:t>which closed on the 22 April 2025</w:t>
      </w:r>
      <w:r w:rsidR="001D180F" w:rsidRPr="009F37BE">
        <w:rPr>
          <w:lang w:eastAsia="ja-JP"/>
        </w:rPr>
        <w:t>,</w:t>
      </w:r>
      <w:r w:rsidRPr="009F37BE">
        <w:rPr>
          <w:lang w:eastAsia="ja-JP"/>
        </w:rPr>
        <w:t xml:space="preserve"> to assist with</w:t>
      </w:r>
      <w:r w:rsidRPr="00006F92">
        <w:rPr>
          <w:lang w:eastAsia="ja-JP"/>
        </w:rPr>
        <w:t xml:space="preserve"> these reviews</w:t>
      </w:r>
      <w:r w:rsidR="00A06D1D" w:rsidRPr="00006F92">
        <w:rPr>
          <w:lang w:eastAsia="ja-JP"/>
        </w:rPr>
        <w:t xml:space="preserve">. </w:t>
      </w:r>
      <w:r>
        <w:rPr>
          <w:lang w:eastAsia="ja-JP"/>
        </w:rPr>
        <w:t>W</w:t>
      </w:r>
      <w:r w:rsidR="00A06D1D" w:rsidRPr="00006F92">
        <w:rPr>
          <w:lang w:eastAsia="ja-JP"/>
        </w:rPr>
        <w:t>e</w:t>
      </w:r>
      <w:r>
        <w:rPr>
          <w:lang w:eastAsia="ja-JP"/>
        </w:rPr>
        <w:t xml:space="preserve"> also</w:t>
      </w:r>
      <w:r w:rsidR="00A06D1D" w:rsidRPr="00006F92">
        <w:rPr>
          <w:lang w:eastAsia="ja-JP"/>
        </w:rPr>
        <w:t xml:space="preserve"> provided</w:t>
      </w:r>
      <w:r w:rsidR="009F37BE">
        <w:rPr>
          <w:lang w:eastAsia="ja-JP"/>
        </w:rPr>
        <w:t xml:space="preserve"> stakeholders with</w:t>
      </w:r>
      <w:r w:rsidR="00A06D1D" w:rsidRPr="00006F92">
        <w:rPr>
          <w:lang w:eastAsia="ja-JP"/>
        </w:rPr>
        <w:t xml:space="preserve"> the opportunity </w:t>
      </w:r>
      <w:r w:rsidR="009F37BE">
        <w:rPr>
          <w:lang w:eastAsia="ja-JP"/>
        </w:rPr>
        <w:t>to meet with us</w:t>
      </w:r>
      <w:r w:rsidR="00A06D1D" w:rsidRPr="00006F92">
        <w:rPr>
          <w:lang w:eastAsia="ja-JP"/>
        </w:rPr>
        <w:t xml:space="preserve"> and undertook visits to regional areas to gather additional information. The public submission process included, for the first time, the ability for people to provide response through a short form questionnaire as well as the usual formal submission process. In addition to the public submission process meeting were held with departmental staff, stakeholders, peak industry representatives, welfare organisations and other organisations or individuals as requested.</w:t>
      </w:r>
    </w:p>
    <w:p w14:paraId="27D41BE7" w14:textId="2294124C" w:rsidR="00A06D1D" w:rsidRPr="00006F92" w:rsidRDefault="00A06D1D" w:rsidP="00A06D1D">
      <w:pPr>
        <w:rPr>
          <w:lang w:eastAsia="ja-JP"/>
        </w:rPr>
      </w:pPr>
      <w:r w:rsidRPr="00006F92">
        <w:rPr>
          <w:lang w:eastAsia="ja-JP"/>
        </w:rPr>
        <w:t xml:space="preserve">We look forward to </w:t>
      </w:r>
      <w:r w:rsidRPr="009F37BE">
        <w:rPr>
          <w:lang w:eastAsia="ja-JP"/>
        </w:rPr>
        <w:t>progressing these reviews over</w:t>
      </w:r>
      <w:r w:rsidR="009F37BE" w:rsidRPr="009F37BE">
        <w:rPr>
          <w:lang w:eastAsia="ja-JP"/>
        </w:rPr>
        <w:t xml:space="preserve"> the</w:t>
      </w:r>
      <w:r w:rsidRPr="009F37BE">
        <w:rPr>
          <w:lang w:eastAsia="ja-JP"/>
        </w:rPr>
        <w:t xml:space="preserve"> coming months</w:t>
      </w:r>
      <w:r w:rsidR="00DA59ED">
        <w:rPr>
          <w:lang w:eastAsia="ja-JP"/>
        </w:rPr>
        <w:t xml:space="preserve"> and</w:t>
      </w:r>
      <w:r w:rsidRPr="009F37BE">
        <w:rPr>
          <w:lang w:eastAsia="ja-JP"/>
        </w:rPr>
        <w:t xml:space="preserve"> continuing to engage with stakeholders.</w:t>
      </w:r>
    </w:p>
    <w:p w14:paraId="0F3F389A" w14:textId="77777777" w:rsidR="00A06D1D" w:rsidRPr="00006F92" w:rsidRDefault="00A06D1D" w:rsidP="009F37BE">
      <w:pPr>
        <w:pStyle w:val="Heading3"/>
        <w:numPr>
          <w:ilvl w:val="0"/>
          <w:numId w:val="0"/>
        </w:numPr>
        <w:rPr>
          <w:lang w:eastAsia="ja-JP"/>
        </w:rPr>
      </w:pPr>
      <w:bookmarkStart w:id="9" w:name="_Toc206400970"/>
      <w:r w:rsidRPr="006A2B3D">
        <w:rPr>
          <w:lang w:eastAsia="ja-JP"/>
        </w:rPr>
        <w:t>Collaborations</w:t>
      </w:r>
      <w:bookmarkEnd w:id="9"/>
    </w:p>
    <w:p w14:paraId="076B2199" w14:textId="7742A8F8" w:rsidR="00A06D1D" w:rsidRPr="00006F92" w:rsidRDefault="009F37BE" w:rsidP="00A06D1D">
      <w:pPr>
        <w:rPr>
          <w:lang w:eastAsia="ja-JP"/>
        </w:rPr>
      </w:pPr>
      <w:r w:rsidRPr="009F37BE">
        <w:rPr>
          <w:lang w:eastAsia="ja-JP"/>
        </w:rPr>
        <w:t>In January 2025 I presented at the World Organisation for Animal Health’s (WOAH) workshop</w:t>
      </w:r>
      <w:r w:rsidR="00067704">
        <w:rPr>
          <w:lang w:eastAsia="ja-JP"/>
        </w:rPr>
        <w:t xml:space="preserve"> in Tokyo</w:t>
      </w:r>
      <w:r w:rsidRPr="009F37BE">
        <w:rPr>
          <w:lang w:eastAsia="ja-JP"/>
        </w:rPr>
        <w:t xml:space="preserve"> on animal welfare in the </w:t>
      </w:r>
      <w:r w:rsidRPr="007A3497">
        <w:rPr>
          <w:lang w:eastAsia="ja-JP"/>
        </w:rPr>
        <w:t>Asia</w:t>
      </w:r>
      <w:r w:rsidR="00AB09CB" w:rsidRPr="007A3497">
        <w:rPr>
          <w:lang w:eastAsia="ja-JP"/>
        </w:rPr>
        <w:t>-</w:t>
      </w:r>
      <w:r w:rsidRPr="007A3497">
        <w:rPr>
          <w:lang w:eastAsia="ja-JP"/>
        </w:rPr>
        <w:t>Pacific</w:t>
      </w:r>
      <w:r w:rsidRPr="009F37BE">
        <w:rPr>
          <w:lang w:eastAsia="ja-JP"/>
        </w:rPr>
        <w:t>.</w:t>
      </w:r>
      <w:r>
        <w:rPr>
          <w:lang w:eastAsia="ja-JP"/>
        </w:rPr>
        <w:t xml:space="preserve"> </w:t>
      </w:r>
      <w:r w:rsidR="00A06D1D" w:rsidRPr="00006F92">
        <w:rPr>
          <w:lang w:eastAsia="ja-JP"/>
        </w:rPr>
        <w:t xml:space="preserve">This meeting provided the opportunity to understand the animal welfare context, opportunities and challenges </w:t>
      </w:r>
      <w:r w:rsidR="00A06D1D" w:rsidRPr="009F37BE">
        <w:rPr>
          <w:lang w:eastAsia="ja-JP"/>
        </w:rPr>
        <w:t xml:space="preserve">across the </w:t>
      </w:r>
      <w:r w:rsidRPr="009F37BE">
        <w:rPr>
          <w:lang w:eastAsia="ja-JP"/>
        </w:rPr>
        <w:t>S</w:t>
      </w:r>
      <w:r w:rsidR="00A06D1D" w:rsidRPr="009F37BE">
        <w:rPr>
          <w:lang w:eastAsia="ja-JP"/>
        </w:rPr>
        <w:t>outheast Asian region</w:t>
      </w:r>
      <w:r w:rsidR="0072740C" w:rsidRPr="009F37BE">
        <w:rPr>
          <w:lang w:eastAsia="ja-JP"/>
        </w:rPr>
        <w:t>.</w:t>
      </w:r>
      <w:r w:rsidR="0072740C">
        <w:rPr>
          <w:lang w:eastAsia="ja-JP"/>
        </w:rPr>
        <w:t xml:space="preserve"> This region is</w:t>
      </w:r>
      <w:r w:rsidR="00A06D1D" w:rsidRPr="00006F92">
        <w:rPr>
          <w:lang w:eastAsia="ja-JP"/>
        </w:rPr>
        <w:t xml:space="preserve"> the destination for many of our livestock exported from Australia and supported a collaborative approach to addressing these.</w:t>
      </w:r>
    </w:p>
    <w:p w14:paraId="33F4A028" w14:textId="344F688C" w:rsidR="00A06D1D" w:rsidRPr="00006F92" w:rsidRDefault="00A06D1D" w:rsidP="00A06D1D">
      <w:pPr>
        <w:rPr>
          <w:lang w:eastAsia="ja-JP"/>
        </w:rPr>
      </w:pPr>
      <w:r w:rsidRPr="00006F92">
        <w:rPr>
          <w:lang w:eastAsia="ja-JP"/>
        </w:rPr>
        <w:t>The meeting also included updates on how the WOAH sets the proposed changes to the international standards relating to welfare</w:t>
      </w:r>
      <w:r w:rsidR="0072740C">
        <w:rPr>
          <w:lang w:eastAsia="ja-JP"/>
        </w:rPr>
        <w:t>.</w:t>
      </w:r>
      <w:r w:rsidRPr="00006F92">
        <w:rPr>
          <w:lang w:eastAsia="ja-JP"/>
        </w:rPr>
        <w:t xml:space="preserve"> </w:t>
      </w:r>
      <w:r w:rsidR="0072740C">
        <w:rPr>
          <w:lang w:eastAsia="ja-JP"/>
        </w:rPr>
        <w:t>I</w:t>
      </w:r>
      <w:r w:rsidRPr="00006F92">
        <w:rPr>
          <w:lang w:eastAsia="ja-JP"/>
        </w:rPr>
        <w:t xml:space="preserve">ncluding those animal welfare standards for slaughter </w:t>
      </w:r>
      <w:r w:rsidR="009F37BE">
        <w:rPr>
          <w:lang w:eastAsia="ja-JP"/>
        </w:rPr>
        <w:t xml:space="preserve">that </w:t>
      </w:r>
      <w:r w:rsidRPr="00006F92">
        <w:rPr>
          <w:lang w:eastAsia="ja-JP"/>
        </w:rPr>
        <w:t xml:space="preserve">are used as the basis for the Exporter Supply Chain Assurance System. This meeting provided a valuable opportunity to maintain current awareness of international developments in these standards </w:t>
      </w:r>
      <w:r w:rsidR="009F37BE">
        <w:rPr>
          <w:lang w:eastAsia="ja-JP"/>
        </w:rPr>
        <w:t>that</w:t>
      </w:r>
      <w:r w:rsidRPr="00006F92">
        <w:rPr>
          <w:lang w:eastAsia="ja-JP"/>
        </w:rPr>
        <w:t xml:space="preserve"> may impact on Australia’s regulation.</w:t>
      </w:r>
    </w:p>
    <w:p w14:paraId="4AB0F380" w14:textId="77777777" w:rsidR="00A06D1D" w:rsidRPr="00A231D1" w:rsidRDefault="00A06D1D" w:rsidP="009F37BE">
      <w:pPr>
        <w:pStyle w:val="Heading3"/>
        <w:numPr>
          <w:ilvl w:val="0"/>
          <w:numId w:val="0"/>
        </w:numPr>
        <w:rPr>
          <w:lang w:eastAsia="ja-JP"/>
        </w:rPr>
      </w:pPr>
      <w:bookmarkStart w:id="10" w:name="_Toc206400971"/>
      <w:r w:rsidRPr="006A2B3D">
        <w:rPr>
          <w:lang w:eastAsia="ja-JP"/>
        </w:rPr>
        <w:t>Memorandum of understanding</w:t>
      </w:r>
      <w:bookmarkEnd w:id="10"/>
    </w:p>
    <w:p w14:paraId="6A2C467C" w14:textId="18EE9881" w:rsidR="00067704" w:rsidRPr="00006F92" w:rsidRDefault="00A06D1D" w:rsidP="00067704">
      <w:pPr>
        <w:rPr>
          <w:lang w:eastAsia="ja-JP"/>
        </w:rPr>
      </w:pPr>
      <w:r w:rsidRPr="00A231D1">
        <w:rPr>
          <w:lang w:eastAsia="ja-JP"/>
        </w:rPr>
        <w:t>During this period</w:t>
      </w:r>
      <w:r w:rsidR="009F37BE" w:rsidRPr="00A231D1">
        <w:rPr>
          <w:lang w:eastAsia="ja-JP"/>
        </w:rPr>
        <w:t>,</w:t>
      </w:r>
      <w:r w:rsidRPr="00A231D1">
        <w:rPr>
          <w:lang w:eastAsia="ja-JP"/>
        </w:rPr>
        <w:t xml:space="preserve"> work commenced on establishing a Memorandum of Understanding (MOU) between the Inspector-General of Animal Welfare and Live Animal Exports and the </w:t>
      </w:r>
      <w:r w:rsidR="00A231D1" w:rsidRPr="00A231D1">
        <w:rPr>
          <w:lang w:eastAsia="ja-JP"/>
        </w:rPr>
        <w:t>d</w:t>
      </w:r>
      <w:r w:rsidRPr="00A231D1">
        <w:rPr>
          <w:lang w:eastAsia="ja-JP"/>
        </w:rPr>
        <w:t>epartment. This</w:t>
      </w:r>
      <w:r w:rsidRPr="00006F92">
        <w:rPr>
          <w:lang w:eastAsia="ja-JP"/>
        </w:rPr>
        <w:t xml:space="preserve"> MOU is an important step in clarifying roles and responsibilities between the </w:t>
      </w:r>
      <w:r w:rsidR="009F37BE">
        <w:rPr>
          <w:lang w:eastAsia="ja-JP"/>
        </w:rPr>
        <w:t>2</w:t>
      </w:r>
      <w:r w:rsidRPr="00006F92">
        <w:rPr>
          <w:lang w:eastAsia="ja-JP"/>
        </w:rPr>
        <w:t xml:space="preserve"> entities. It is intended to</w:t>
      </w:r>
      <w:r w:rsidR="00067704">
        <w:rPr>
          <w:lang w:eastAsia="ja-JP"/>
        </w:rPr>
        <w:t xml:space="preserve"> support the independence of the Inspector-General and </w:t>
      </w:r>
      <w:r w:rsidR="00067704" w:rsidRPr="00006F92">
        <w:rPr>
          <w:lang w:eastAsia="ja-JP"/>
        </w:rPr>
        <w:t xml:space="preserve">confirm the enabling </w:t>
      </w:r>
      <w:r w:rsidR="00067704">
        <w:rPr>
          <w:lang w:eastAsia="ja-JP"/>
        </w:rPr>
        <w:t xml:space="preserve">and support </w:t>
      </w:r>
      <w:r w:rsidR="00067704" w:rsidRPr="00006F92">
        <w:rPr>
          <w:lang w:eastAsia="ja-JP"/>
        </w:rPr>
        <w:t>services provided by the department.</w:t>
      </w:r>
    </w:p>
    <w:p w14:paraId="4C25CF92" w14:textId="77777777" w:rsidR="00A06D1D" w:rsidRPr="00006F92" w:rsidRDefault="00A06D1D" w:rsidP="00A231D1">
      <w:pPr>
        <w:pStyle w:val="Heading3"/>
        <w:numPr>
          <w:ilvl w:val="0"/>
          <w:numId w:val="0"/>
        </w:numPr>
        <w:rPr>
          <w:lang w:eastAsia="ja-JP"/>
        </w:rPr>
      </w:pPr>
      <w:bookmarkStart w:id="11" w:name="_Toc206400972"/>
      <w:r w:rsidRPr="006A2B3D">
        <w:rPr>
          <w:lang w:eastAsia="ja-JP"/>
        </w:rPr>
        <w:t>Looking forward</w:t>
      </w:r>
      <w:bookmarkEnd w:id="11"/>
    </w:p>
    <w:p w14:paraId="6198F046" w14:textId="0625754E" w:rsidR="00A06D1D" w:rsidRPr="00006F92" w:rsidRDefault="00A06D1D" w:rsidP="00A06D1D">
      <w:pPr>
        <w:rPr>
          <w:lang w:eastAsia="ja-JP"/>
        </w:rPr>
      </w:pPr>
      <w:r w:rsidRPr="00006F92">
        <w:rPr>
          <w:lang w:eastAsia="ja-JP"/>
        </w:rPr>
        <w:t xml:space="preserve">Australia’s livestock exports continue to operate in a complex and evolving environment. The overall size of the industry has been gradually declining in recent years, with a </w:t>
      </w:r>
      <w:r w:rsidRPr="00A231D1">
        <w:rPr>
          <w:lang w:eastAsia="ja-JP"/>
        </w:rPr>
        <w:t>reduction in the number of active exporters, changing markets dynamics and regulatory and policy reforms. The Australia</w:t>
      </w:r>
      <w:r w:rsidR="00A231D1" w:rsidRPr="00A231D1">
        <w:rPr>
          <w:lang w:eastAsia="ja-JP"/>
        </w:rPr>
        <w:t>n</w:t>
      </w:r>
      <w:r w:rsidRPr="00A231D1">
        <w:rPr>
          <w:lang w:eastAsia="ja-JP"/>
        </w:rPr>
        <w:t xml:space="preserve"> Government’s announcement of the planned phase-out of live sheep exports by sea by May 2028 represents a significant transition for the sector</w:t>
      </w:r>
      <w:r w:rsidR="00A231D1" w:rsidRPr="00A231D1">
        <w:rPr>
          <w:lang w:eastAsia="ja-JP"/>
        </w:rPr>
        <w:t xml:space="preserve">, </w:t>
      </w:r>
      <w:r w:rsidRPr="00A231D1">
        <w:rPr>
          <w:lang w:eastAsia="ja-JP"/>
        </w:rPr>
        <w:t>particular</w:t>
      </w:r>
      <w:r w:rsidR="00A231D1" w:rsidRPr="00A231D1">
        <w:rPr>
          <w:lang w:eastAsia="ja-JP"/>
        </w:rPr>
        <w:t>ly</w:t>
      </w:r>
      <w:r w:rsidRPr="00A231D1">
        <w:rPr>
          <w:lang w:eastAsia="ja-JP"/>
        </w:rPr>
        <w:t xml:space="preserve"> Western Australia, where</w:t>
      </w:r>
      <w:r w:rsidRPr="00006F92">
        <w:rPr>
          <w:lang w:eastAsia="ja-JP"/>
        </w:rPr>
        <w:t xml:space="preserve"> the trade has been most concentrated.</w:t>
      </w:r>
    </w:p>
    <w:p w14:paraId="4346A9BC" w14:textId="68D8BD12" w:rsidR="00A06D1D" w:rsidRPr="00006F92" w:rsidRDefault="00A06D1D" w:rsidP="00A06D1D">
      <w:pPr>
        <w:rPr>
          <w:lang w:eastAsia="ja-JP"/>
        </w:rPr>
      </w:pPr>
      <w:r w:rsidRPr="00006F92">
        <w:rPr>
          <w:lang w:eastAsia="ja-JP"/>
        </w:rPr>
        <w:lastRenderedPageBreak/>
        <w:t>Animal welfare will remain a central focus and continue to be an area of high public scrutiny. Australia’s regulatory system must continue to be evidence based, drawing on current research, operational insights and practical experience to guide continuous improvement.</w:t>
      </w:r>
    </w:p>
    <w:p w14:paraId="1637B44B" w14:textId="03C4A2AA" w:rsidR="005D3D65" w:rsidRDefault="00A06D1D" w:rsidP="005D3D65">
      <w:r w:rsidRPr="00006F92">
        <w:t>The decreasing number of exporters underscores the importance of ensuring that regulatory requirements are fair, proportionate and risk based.</w:t>
      </w:r>
    </w:p>
    <w:p w14:paraId="7F394C61" w14:textId="627BD430" w:rsidR="00764D6A" w:rsidRDefault="00764D6A">
      <w:pPr>
        <w:sectPr w:rsidR="00764D6A">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pgNumType w:fmt="lowerRoman" w:start="1"/>
          <w:cols w:space="708"/>
          <w:titlePg/>
          <w:docGrid w:linePitch="360"/>
        </w:sectPr>
      </w:pPr>
    </w:p>
    <w:p w14:paraId="5F764851" w14:textId="51C4F728" w:rsidR="00067704" w:rsidRPr="00006F92" w:rsidRDefault="00067704" w:rsidP="003C156F">
      <w:pPr>
        <w:pStyle w:val="Heading2"/>
        <w:numPr>
          <w:ilvl w:val="0"/>
          <w:numId w:val="0"/>
        </w:numPr>
      </w:pPr>
      <w:bookmarkStart w:id="13" w:name="_Toc206400973"/>
      <w:bookmarkStart w:id="14" w:name="_Toc430782150"/>
      <w:r w:rsidRPr="006C4BC9">
        <w:lastRenderedPageBreak/>
        <w:t xml:space="preserve">Overview of </w:t>
      </w:r>
      <w:r w:rsidR="00EB598A" w:rsidRPr="00630061">
        <w:t>l</w:t>
      </w:r>
      <w:r w:rsidRPr="00630061">
        <w:t>ivestock</w:t>
      </w:r>
      <w:r w:rsidRPr="006C4BC9">
        <w:t xml:space="preserve"> exports</w:t>
      </w:r>
      <w:bookmarkEnd w:id="13"/>
    </w:p>
    <w:p w14:paraId="57C12B42" w14:textId="77777777" w:rsidR="00067704" w:rsidRPr="00006F92" w:rsidRDefault="00067704" w:rsidP="00067704">
      <w:pPr>
        <w:rPr>
          <w:lang w:eastAsia="ja-JP"/>
        </w:rPr>
      </w:pPr>
      <w:r w:rsidRPr="00006F92">
        <w:rPr>
          <w:lang w:eastAsia="ja-JP"/>
        </w:rPr>
        <w:t xml:space="preserve">Australia’s livestock export industry is valued at over $1 billion and generates about 10,000 jobs across Australia. The Department of Agriculture, Fisheries and Forestry </w:t>
      </w:r>
      <w:r>
        <w:rPr>
          <w:lang w:eastAsia="ja-JP"/>
        </w:rPr>
        <w:t xml:space="preserve">(DAFF) </w:t>
      </w:r>
      <w:r w:rsidRPr="00006F92">
        <w:rPr>
          <w:lang w:eastAsia="ja-JP"/>
        </w:rPr>
        <w:t xml:space="preserve">regulates the livestock export industry in accordance with the </w:t>
      </w:r>
      <w:r w:rsidRPr="00006F92">
        <w:rPr>
          <w:i/>
          <w:iCs/>
          <w:lang w:eastAsia="ja-JP"/>
        </w:rPr>
        <w:t>Export Control Act 2020</w:t>
      </w:r>
      <w:r w:rsidRPr="00006F92">
        <w:rPr>
          <w:lang w:eastAsia="ja-JP"/>
        </w:rPr>
        <w:t xml:space="preserve"> and the Export Control (Animals) Rules 2021.</w:t>
      </w:r>
    </w:p>
    <w:p w14:paraId="28A56908" w14:textId="77777777" w:rsidR="00067704" w:rsidRPr="00006F92" w:rsidRDefault="00067704" w:rsidP="00067704">
      <w:pPr>
        <w:rPr>
          <w:lang w:eastAsia="ja-JP"/>
        </w:rPr>
      </w:pPr>
      <w:r w:rsidRPr="006C4BC9">
        <w:rPr>
          <w:lang w:eastAsia="ja-JP"/>
        </w:rPr>
        <w:t xml:space="preserve">Only 26 of the </w:t>
      </w:r>
      <w:r>
        <w:rPr>
          <w:lang w:eastAsia="ja-JP"/>
        </w:rPr>
        <w:t>3</w:t>
      </w:r>
      <w:r w:rsidRPr="006C4BC9">
        <w:rPr>
          <w:lang w:eastAsia="ja-JP"/>
        </w:rPr>
        <w:t>4 registered exporters are listed as active. From 1 July 2024 to 30 June 2025 Australia exported 1,22</w:t>
      </w:r>
      <w:r>
        <w:rPr>
          <w:lang w:eastAsia="ja-JP"/>
        </w:rPr>
        <w:t>8</w:t>
      </w:r>
      <w:r w:rsidRPr="006C4BC9">
        <w:rPr>
          <w:lang w:eastAsia="ja-JP"/>
        </w:rPr>
        <w:t>,7</w:t>
      </w:r>
      <w:r>
        <w:rPr>
          <w:lang w:eastAsia="ja-JP"/>
        </w:rPr>
        <w:t>35</w:t>
      </w:r>
      <w:r w:rsidRPr="006C4BC9">
        <w:rPr>
          <w:lang w:eastAsia="ja-JP"/>
        </w:rPr>
        <w:t xml:space="preserve"> livestock. </w:t>
      </w:r>
      <w:r w:rsidRPr="006C4BC9">
        <w:rPr>
          <w:lang w:eastAsia="ja-JP"/>
        </w:rPr>
        <w:fldChar w:fldCharType="begin"/>
      </w:r>
      <w:r w:rsidRPr="006C4BC9">
        <w:rPr>
          <w:lang w:eastAsia="ja-JP"/>
        </w:rPr>
        <w:instrText xml:space="preserve"> REF _Ref203985798 \h </w:instrText>
      </w:r>
      <w:r>
        <w:rPr>
          <w:lang w:eastAsia="ja-JP"/>
        </w:rPr>
        <w:instrText xml:space="preserve"> \* MERGEFORMAT </w:instrText>
      </w:r>
      <w:r w:rsidRPr="006C4BC9">
        <w:rPr>
          <w:lang w:eastAsia="ja-JP"/>
        </w:rPr>
      </w:r>
      <w:r w:rsidRPr="006C4BC9">
        <w:rPr>
          <w:lang w:eastAsia="ja-JP"/>
        </w:rPr>
        <w:fldChar w:fldCharType="separate"/>
      </w:r>
      <w:r w:rsidRPr="006C4BC9">
        <w:t xml:space="preserve">Table </w:t>
      </w:r>
      <w:r w:rsidRPr="006C4BC9">
        <w:rPr>
          <w:noProof/>
        </w:rPr>
        <w:t>1</w:t>
      </w:r>
      <w:r w:rsidRPr="006C4BC9">
        <w:rPr>
          <w:lang w:eastAsia="ja-JP"/>
        </w:rPr>
        <w:fldChar w:fldCharType="end"/>
      </w:r>
      <w:r w:rsidRPr="006C4BC9">
        <w:rPr>
          <w:lang w:eastAsia="ja-JP"/>
        </w:rPr>
        <w:t xml:space="preserve"> shows the species by mode of transport.</w:t>
      </w:r>
    </w:p>
    <w:p w14:paraId="6CBB1A84" w14:textId="77777777" w:rsidR="00067704" w:rsidRPr="00006F92" w:rsidRDefault="00067704" w:rsidP="00067704">
      <w:pPr>
        <w:pStyle w:val="Caption"/>
        <w:rPr>
          <w:lang w:eastAsia="ja-JP"/>
        </w:rPr>
      </w:pPr>
      <w:bookmarkStart w:id="15" w:name="_Toc206078595"/>
      <w:r>
        <w:t xml:space="preserve">Table </w:t>
      </w:r>
      <w:r>
        <w:fldChar w:fldCharType="begin"/>
      </w:r>
      <w:r>
        <w:instrText xml:space="preserve"> SEQ Table \* ARABIC </w:instrText>
      </w:r>
      <w:r>
        <w:fldChar w:fldCharType="separate"/>
      </w:r>
      <w:r>
        <w:rPr>
          <w:noProof/>
        </w:rPr>
        <w:t>1</w:t>
      </w:r>
      <w:r>
        <w:fldChar w:fldCharType="end"/>
      </w:r>
      <w:r>
        <w:t xml:space="preserve"> </w:t>
      </w:r>
      <w:r w:rsidRPr="006C4BC9">
        <w:t>L</w:t>
      </w:r>
      <w:r w:rsidRPr="006C4BC9">
        <w:rPr>
          <w:lang w:eastAsia="ja-JP"/>
        </w:rPr>
        <w:t>ivestock exported from Australia by air and sea, 2024–25</w:t>
      </w:r>
      <w:bookmarkEnd w:id="15"/>
    </w:p>
    <w:tbl>
      <w:tblPr>
        <w:tblW w:w="0" w:type="auto"/>
        <w:tblBorders>
          <w:bottom w:val="single" w:sz="4" w:space="0" w:color="000000"/>
          <w:insideH w:val="single" w:sz="4" w:space="0" w:color="000000"/>
        </w:tblBorders>
        <w:tblLook w:val="04A0" w:firstRow="1" w:lastRow="0" w:firstColumn="1" w:lastColumn="0" w:noHBand="0" w:noVBand="1"/>
      </w:tblPr>
      <w:tblGrid>
        <w:gridCol w:w="980"/>
        <w:gridCol w:w="1034"/>
        <w:gridCol w:w="1034"/>
        <w:gridCol w:w="1018"/>
        <w:gridCol w:w="1007"/>
        <w:gridCol w:w="1018"/>
        <w:gridCol w:w="1029"/>
        <w:gridCol w:w="1002"/>
        <w:gridCol w:w="948"/>
      </w:tblGrid>
      <w:tr w:rsidR="00067704" w:rsidRPr="00630061" w14:paraId="3FDD3746" w14:textId="77777777" w:rsidTr="00FC38CB">
        <w:trPr>
          <w:cantSplit/>
          <w:tblHeader/>
        </w:trPr>
        <w:tc>
          <w:tcPr>
            <w:tcW w:w="980" w:type="dxa"/>
            <w:tcBorders>
              <w:top w:val="single" w:sz="4" w:space="0" w:color="000000"/>
            </w:tcBorders>
          </w:tcPr>
          <w:p w14:paraId="60F52626" w14:textId="77777777" w:rsidR="00067704" w:rsidRPr="00630061" w:rsidRDefault="00067704" w:rsidP="00FC38CB">
            <w:pPr>
              <w:pStyle w:val="TableHeading"/>
            </w:pPr>
            <w:bookmarkStart w:id="16" w:name="Title_1"/>
            <w:bookmarkEnd w:id="16"/>
            <w:r w:rsidRPr="00630061">
              <w:t>Type</w:t>
            </w:r>
          </w:p>
        </w:tc>
        <w:tc>
          <w:tcPr>
            <w:tcW w:w="1034" w:type="dxa"/>
            <w:tcBorders>
              <w:top w:val="single" w:sz="4" w:space="0" w:color="000000"/>
            </w:tcBorders>
          </w:tcPr>
          <w:p w14:paraId="37C564BC" w14:textId="77777777" w:rsidR="00067704" w:rsidRPr="00630061" w:rsidRDefault="00067704" w:rsidP="00FC38CB">
            <w:pPr>
              <w:pStyle w:val="TableHeading"/>
              <w:jc w:val="right"/>
            </w:pPr>
            <w:r w:rsidRPr="00630061">
              <w:t>Cattle</w:t>
            </w:r>
          </w:p>
        </w:tc>
        <w:tc>
          <w:tcPr>
            <w:tcW w:w="1034" w:type="dxa"/>
            <w:tcBorders>
              <w:top w:val="single" w:sz="4" w:space="0" w:color="000000"/>
            </w:tcBorders>
          </w:tcPr>
          <w:p w14:paraId="2AB64D7A" w14:textId="77777777" w:rsidR="00067704" w:rsidRPr="00630061" w:rsidRDefault="00067704" w:rsidP="00FC38CB">
            <w:pPr>
              <w:pStyle w:val="TableHeading"/>
              <w:jc w:val="right"/>
            </w:pPr>
            <w:r w:rsidRPr="00630061">
              <w:t>Sheep</w:t>
            </w:r>
          </w:p>
        </w:tc>
        <w:tc>
          <w:tcPr>
            <w:tcW w:w="1018" w:type="dxa"/>
            <w:tcBorders>
              <w:top w:val="single" w:sz="4" w:space="0" w:color="000000"/>
            </w:tcBorders>
          </w:tcPr>
          <w:p w14:paraId="2EC6F83E" w14:textId="77777777" w:rsidR="00067704" w:rsidRPr="00630061" w:rsidRDefault="00067704" w:rsidP="00FC38CB">
            <w:pPr>
              <w:pStyle w:val="TableHeading"/>
              <w:jc w:val="right"/>
            </w:pPr>
            <w:r w:rsidRPr="00630061">
              <w:t>Buffalo</w:t>
            </w:r>
          </w:p>
        </w:tc>
        <w:tc>
          <w:tcPr>
            <w:tcW w:w="1007" w:type="dxa"/>
            <w:tcBorders>
              <w:top w:val="single" w:sz="4" w:space="0" w:color="000000"/>
            </w:tcBorders>
          </w:tcPr>
          <w:p w14:paraId="222E41D6" w14:textId="77777777" w:rsidR="00067704" w:rsidRPr="00630061" w:rsidRDefault="00067704" w:rsidP="00FC38CB">
            <w:pPr>
              <w:pStyle w:val="TableHeading"/>
              <w:jc w:val="right"/>
            </w:pPr>
            <w:r w:rsidRPr="00630061">
              <w:t>Goats</w:t>
            </w:r>
          </w:p>
        </w:tc>
        <w:tc>
          <w:tcPr>
            <w:tcW w:w="1018" w:type="dxa"/>
            <w:tcBorders>
              <w:top w:val="single" w:sz="4" w:space="0" w:color="000000"/>
            </w:tcBorders>
          </w:tcPr>
          <w:p w14:paraId="63A06404" w14:textId="77777777" w:rsidR="00067704" w:rsidRPr="00630061" w:rsidRDefault="00067704" w:rsidP="00FC38CB">
            <w:pPr>
              <w:pStyle w:val="TableHeading"/>
              <w:jc w:val="right"/>
            </w:pPr>
            <w:r w:rsidRPr="00630061">
              <w:t>Camels</w:t>
            </w:r>
          </w:p>
        </w:tc>
        <w:tc>
          <w:tcPr>
            <w:tcW w:w="1029" w:type="dxa"/>
            <w:tcBorders>
              <w:top w:val="single" w:sz="4" w:space="0" w:color="000000"/>
            </w:tcBorders>
          </w:tcPr>
          <w:p w14:paraId="1B29CCEA" w14:textId="77777777" w:rsidR="00067704" w:rsidRPr="00630061" w:rsidRDefault="00067704" w:rsidP="00FC38CB">
            <w:pPr>
              <w:pStyle w:val="TableHeading"/>
              <w:jc w:val="right"/>
            </w:pPr>
            <w:r w:rsidRPr="00630061">
              <w:t>Alpacas</w:t>
            </w:r>
          </w:p>
        </w:tc>
        <w:tc>
          <w:tcPr>
            <w:tcW w:w="1002" w:type="dxa"/>
            <w:tcBorders>
              <w:top w:val="single" w:sz="4" w:space="0" w:color="000000"/>
            </w:tcBorders>
          </w:tcPr>
          <w:p w14:paraId="2DA6F038" w14:textId="77777777" w:rsidR="00067704" w:rsidRPr="00630061" w:rsidRDefault="00067704" w:rsidP="00FC38CB">
            <w:pPr>
              <w:pStyle w:val="TableHeading"/>
              <w:jc w:val="right"/>
            </w:pPr>
            <w:r w:rsidRPr="00630061">
              <w:t>llamas</w:t>
            </w:r>
          </w:p>
        </w:tc>
        <w:tc>
          <w:tcPr>
            <w:tcW w:w="948" w:type="dxa"/>
            <w:tcBorders>
              <w:top w:val="single" w:sz="4" w:space="0" w:color="000000"/>
            </w:tcBorders>
          </w:tcPr>
          <w:p w14:paraId="785A6B8F" w14:textId="77777777" w:rsidR="00067704" w:rsidRPr="00630061" w:rsidRDefault="00067704" w:rsidP="00FC38CB">
            <w:pPr>
              <w:pStyle w:val="TableHeading"/>
              <w:jc w:val="right"/>
            </w:pPr>
            <w:r w:rsidRPr="00630061">
              <w:t>Total</w:t>
            </w:r>
          </w:p>
        </w:tc>
      </w:tr>
      <w:tr w:rsidR="00067704" w:rsidRPr="00630061" w14:paraId="3C163B84" w14:textId="77777777" w:rsidTr="00FC38CB">
        <w:tc>
          <w:tcPr>
            <w:tcW w:w="980" w:type="dxa"/>
          </w:tcPr>
          <w:p w14:paraId="249E48AE" w14:textId="77777777" w:rsidR="00067704" w:rsidRPr="00630061" w:rsidRDefault="00067704" w:rsidP="00FC38CB">
            <w:pPr>
              <w:pStyle w:val="TableText"/>
            </w:pPr>
            <w:r w:rsidRPr="00630061">
              <w:t>Air</w:t>
            </w:r>
          </w:p>
        </w:tc>
        <w:tc>
          <w:tcPr>
            <w:tcW w:w="1034" w:type="dxa"/>
          </w:tcPr>
          <w:p w14:paraId="6757034A" w14:textId="77777777" w:rsidR="00067704" w:rsidRPr="00630061" w:rsidRDefault="00067704" w:rsidP="00FC38CB">
            <w:pPr>
              <w:pStyle w:val="TableText"/>
              <w:jc w:val="right"/>
            </w:pPr>
            <w:r w:rsidRPr="00630061">
              <w:t>2,233</w:t>
            </w:r>
          </w:p>
        </w:tc>
        <w:tc>
          <w:tcPr>
            <w:tcW w:w="1034" w:type="dxa"/>
          </w:tcPr>
          <w:p w14:paraId="1026240C" w14:textId="77777777" w:rsidR="00067704" w:rsidRPr="00630061" w:rsidRDefault="00067704" w:rsidP="00FC38CB">
            <w:pPr>
              <w:pStyle w:val="TableText"/>
              <w:jc w:val="right"/>
            </w:pPr>
            <w:r w:rsidRPr="00630061">
              <w:t>17,170</w:t>
            </w:r>
          </w:p>
        </w:tc>
        <w:tc>
          <w:tcPr>
            <w:tcW w:w="1018" w:type="dxa"/>
          </w:tcPr>
          <w:p w14:paraId="2241A4FF" w14:textId="77777777" w:rsidR="00067704" w:rsidRPr="00630061" w:rsidRDefault="00067704" w:rsidP="00FC38CB">
            <w:pPr>
              <w:pStyle w:val="TableText"/>
              <w:jc w:val="right"/>
            </w:pPr>
            <w:r w:rsidRPr="00630061">
              <w:t>0</w:t>
            </w:r>
          </w:p>
        </w:tc>
        <w:tc>
          <w:tcPr>
            <w:tcW w:w="1007" w:type="dxa"/>
          </w:tcPr>
          <w:p w14:paraId="4B638CCC" w14:textId="77777777" w:rsidR="00067704" w:rsidRPr="00630061" w:rsidRDefault="00067704" w:rsidP="00FC38CB">
            <w:pPr>
              <w:pStyle w:val="TableText"/>
              <w:jc w:val="right"/>
            </w:pPr>
            <w:r w:rsidRPr="00630061">
              <w:t>16,856</w:t>
            </w:r>
          </w:p>
        </w:tc>
        <w:tc>
          <w:tcPr>
            <w:tcW w:w="1018" w:type="dxa"/>
          </w:tcPr>
          <w:p w14:paraId="451D56DC" w14:textId="77777777" w:rsidR="00067704" w:rsidRPr="00630061" w:rsidRDefault="00067704" w:rsidP="00FC38CB">
            <w:pPr>
              <w:pStyle w:val="TableText"/>
              <w:jc w:val="right"/>
            </w:pPr>
            <w:r w:rsidRPr="00630061">
              <w:t>99</w:t>
            </w:r>
          </w:p>
        </w:tc>
        <w:tc>
          <w:tcPr>
            <w:tcW w:w="1029" w:type="dxa"/>
          </w:tcPr>
          <w:p w14:paraId="119A0D37" w14:textId="77777777" w:rsidR="00067704" w:rsidRPr="00630061" w:rsidRDefault="00067704" w:rsidP="00FC38CB">
            <w:pPr>
              <w:pStyle w:val="TableText"/>
              <w:jc w:val="right"/>
            </w:pPr>
            <w:r w:rsidRPr="00630061">
              <w:t>1,463</w:t>
            </w:r>
          </w:p>
        </w:tc>
        <w:tc>
          <w:tcPr>
            <w:tcW w:w="1002" w:type="dxa"/>
          </w:tcPr>
          <w:p w14:paraId="5DF9C1E8" w14:textId="77777777" w:rsidR="00067704" w:rsidRPr="00630061" w:rsidRDefault="00067704" w:rsidP="00FC38CB">
            <w:pPr>
              <w:pStyle w:val="TableText"/>
              <w:jc w:val="right"/>
            </w:pPr>
            <w:r w:rsidRPr="00630061">
              <w:t>18</w:t>
            </w:r>
          </w:p>
        </w:tc>
        <w:tc>
          <w:tcPr>
            <w:tcW w:w="948" w:type="dxa"/>
          </w:tcPr>
          <w:p w14:paraId="5190D3B2" w14:textId="77777777" w:rsidR="00067704" w:rsidRPr="00630061" w:rsidRDefault="00067704" w:rsidP="00FC38CB">
            <w:pPr>
              <w:pStyle w:val="TableText"/>
              <w:jc w:val="right"/>
            </w:pPr>
            <w:r w:rsidRPr="00630061">
              <w:t>37,839</w:t>
            </w:r>
          </w:p>
        </w:tc>
      </w:tr>
      <w:tr w:rsidR="00067704" w:rsidRPr="00630061" w14:paraId="73A84343" w14:textId="77777777" w:rsidTr="00FC38CB">
        <w:tc>
          <w:tcPr>
            <w:tcW w:w="980" w:type="dxa"/>
          </w:tcPr>
          <w:p w14:paraId="3BF6075A" w14:textId="77777777" w:rsidR="00067704" w:rsidRPr="00630061" w:rsidRDefault="00067704" w:rsidP="00FC38CB">
            <w:pPr>
              <w:pStyle w:val="TableText"/>
            </w:pPr>
            <w:r w:rsidRPr="00630061">
              <w:t>Sea</w:t>
            </w:r>
          </w:p>
        </w:tc>
        <w:tc>
          <w:tcPr>
            <w:tcW w:w="1034" w:type="dxa"/>
          </w:tcPr>
          <w:p w14:paraId="6884DDB6" w14:textId="77777777" w:rsidR="00067704" w:rsidRPr="00630061" w:rsidRDefault="00067704" w:rsidP="00FC38CB">
            <w:pPr>
              <w:pStyle w:val="TableText"/>
              <w:jc w:val="right"/>
            </w:pPr>
            <w:r w:rsidRPr="00630061">
              <w:t>778,686</w:t>
            </w:r>
          </w:p>
        </w:tc>
        <w:tc>
          <w:tcPr>
            <w:tcW w:w="1034" w:type="dxa"/>
          </w:tcPr>
          <w:p w14:paraId="4C3A7D09" w14:textId="77777777" w:rsidR="00067704" w:rsidRPr="00630061" w:rsidRDefault="00067704" w:rsidP="00FC38CB">
            <w:pPr>
              <w:pStyle w:val="TableText"/>
              <w:jc w:val="right"/>
            </w:pPr>
            <w:r w:rsidRPr="00630061">
              <w:t>407,490</w:t>
            </w:r>
          </w:p>
        </w:tc>
        <w:tc>
          <w:tcPr>
            <w:tcW w:w="1018" w:type="dxa"/>
          </w:tcPr>
          <w:p w14:paraId="7ADBAE03" w14:textId="77777777" w:rsidR="00067704" w:rsidRPr="00630061" w:rsidRDefault="00067704" w:rsidP="00FC38CB">
            <w:pPr>
              <w:pStyle w:val="TableText"/>
              <w:jc w:val="right"/>
            </w:pPr>
            <w:r w:rsidRPr="00630061">
              <w:t>4,720</w:t>
            </w:r>
          </w:p>
        </w:tc>
        <w:tc>
          <w:tcPr>
            <w:tcW w:w="1007" w:type="dxa"/>
          </w:tcPr>
          <w:p w14:paraId="58AFB0EF" w14:textId="77777777" w:rsidR="00067704" w:rsidRPr="00630061" w:rsidRDefault="00067704" w:rsidP="00FC38CB">
            <w:pPr>
              <w:pStyle w:val="TableText"/>
              <w:jc w:val="right"/>
            </w:pPr>
            <w:r w:rsidRPr="00630061">
              <w:t>0</w:t>
            </w:r>
          </w:p>
        </w:tc>
        <w:tc>
          <w:tcPr>
            <w:tcW w:w="1018" w:type="dxa"/>
          </w:tcPr>
          <w:p w14:paraId="6723A6CD" w14:textId="77777777" w:rsidR="00067704" w:rsidRPr="00630061" w:rsidRDefault="00067704" w:rsidP="00FC38CB">
            <w:pPr>
              <w:pStyle w:val="TableText"/>
              <w:jc w:val="right"/>
            </w:pPr>
            <w:r w:rsidRPr="00630061">
              <w:t>0</w:t>
            </w:r>
          </w:p>
        </w:tc>
        <w:tc>
          <w:tcPr>
            <w:tcW w:w="1029" w:type="dxa"/>
          </w:tcPr>
          <w:p w14:paraId="5DC2E87A" w14:textId="77777777" w:rsidR="00067704" w:rsidRPr="00630061" w:rsidRDefault="00067704" w:rsidP="00FC38CB">
            <w:pPr>
              <w:pStyle w:val="TableText"/>
              <w:jc w:val="right"/>
            </w:pPr>
            <w:r w:rsidRPr="00630061">
              <w:t>0</w:t>
            </w:r>
          </w:p>
        </w:tc>
        <w:tc>
          <w:tcPr>
            <w:tcW w:w="1002" w:type="dxa"/>
          </w:tcPr>
          <w:p w14:paraId="195D80A4" w14:textId="77777777" w:rsidR="00067704" w:rsidRPr="00630061" w:rsidRDefault="00067704" w:rsidP="00FC38CB">
            <w:pPr>
              <w:pStyle w:val="TableText"/>
              <w:jc w:val="right"/>
            </w:pPr>
            <w:r w:rsidRPr="00630061">
              <w:t>0</w:t>
            </w:r>
          </w:p>
        </w:tc>
        <w:tc>
          <w:tcPr>
            <w:tcW w:w="948" w:type="dxa"/>
          </w:tcPr>
          <w:p w14:paraId="331CD1C5" w14:textId="77777777" w:rsidR="00067704" w:rsidRPr="00630061" w:rsidRDefault="00067704" w:rsidP="00FC38CB">
            <w:pPr>
              <w:pStyle w:val="TableText"/>
              <w:jc w:val="right"/>
            </w:pPr>
            <w:r w:rsidRPr="00630061">
              <w:t>1,190,896</w:t>
            </w:r>
          </w:p>
        </w:tc>
      </w:tr>
      <w:tr w:rsidR="00067704" w:rsidRPr="00630061" w14:paraId="1478EEBF" w14:textId="77777777" w:rsidTr="00FC38CB">
        <w:tc>
          <w:tcPr>
            <w:tcW w:w="980" w:type="dxa"/>
          </w:tcPr>
          <w:p w14:paraId="1929533C" w14:textId="77777777" w:rsidR="00067704" w:rsidRPr="00630061" w:rsidRDefault="00067704" w:rsidP="00FC38CB">
            <w:pPr>
              <w:pStyle w:val="TableText"/>
              <w:rPr>
                <w:rStyle w:val="Strong"/>
              </w:rPr>
            </w:pPr>
            <w:r w:rsidRPr="00630061">
              <w:rPr>
                <w:rStyle w:val="Strong"/>
              </w:rPr>
              <w:t>Total</w:t>
            </w:r>
          </w:p>
        </w:tc>
        <w:tc>
          <w:tcPr>
            <w:tcW w:w="1034" w:type="dxa"/>
          </w:tcPr>
          <w:p w14:paraId="616ADBDE" w14:textId="77777777" w:rsidR="00067704" w:rsidRPr="00630061" w:rsidRDefault="00067704" w:rsidP="00FC38CB">
            <w:pPr>
              <w:pStyle w:val="TableText"/>
              <w:jc w:val="right"/>
              <w:rPr>
                <w:rStyle w:val="Strong"/>
              </w:rPr>
            </w:pPr>
            <w:r w:rsidRPr="00630061">
              <w:rPr>
                <w:rStyle w:val="Strong"/>
              </w:rPr>
              <w:t>780,919</w:t>
            </w:r>
          </w:p>
        </w:tc>
        <w:tc>
          <w:tcPr>
            <w:tcW w:w="1034" w:type="dxa"/>
          </w:tcPr>
          <w:p w14:paraId="5B81C0E4" w14:textId="77777777" w:rsidR="00067704" w:rsidRPr="00630061" w:rsidRDefault="00067704" w:rsidP="00FC38CB">
            <w:pPr>
              <w:pStyle w:val="TableText"/>
              <w:jc w:val="right"/>
              <w:rPr>
                <w:rStyle w:val="Strong"/>
              </w:rPr>
            </w:pPr>
            <w:r w:rsidRPr="00630061">
              <w:rPr>
                <w:rStyle w:val="Strong"/>
              </w:rPr>
              <w:t>424,660</w:t>
            </w:r>
          </w:p>
        </w:tc>
        <w:tc>
          <w:tcPr>
            <w:tcW w:w="1018" w:type="dxa"/>
          </w:tcPr>
          <w:p w14:paraId="1BD1E497" w14:textId="77777777" w:rsidR="00067704" w:rsidRPr="00630061" w:rsidRDefault="00067704" w:rsidP="00FC38CB">
            <w:pPr>
              <w:pStyle w:val="TableText"/>
              <w:jc w:val="right"/>
              <w:rPr>
                <w:rStyle w:val="Strong"/>
              </w:rPr>
            </w:pPr>
            <w:r w:rsidRPr="00630061">
              <w:rPr>
                <w:rStyle w:val="Strong"/>
              </w:rPr>
              <w:t>4,720</w:t>
            </w:r>
          </w:p>
        </w:tc>
        <w:tc>
          <w:tcPr>
            <w:tcW w:w="1007" w:type="dxa"/>
          </w:tcPr>
          <w:p w14:paraId="5E3B2EB3" w14:textId="77777777" w:rsidR="00067704" w:rsidRPr="00630061" w:rsidRDefault="00067704" w:rsidP="00FC38CB">
            <w:pPr>
              <w:pStyle w:val="TableText"/>
              <w:jc w:val="right"/>
              <w:rPr>
                <w:rStyle w:val="Strong"/>
              </w:rPr>
            </w:pPr>
            <w:r w:rsidRPr="00630061">
              <w:rPr>
                <w:rStyle w:val="Strong"/>
              </w:rPr>
              <w:t>16,856</w:t>
            </w:r>
          </w:p>
        </w:tc>
        <w:tc>
          <w:tcPr>
            <w:tcW w:w="1018" w:type="dxa"/>
          </w:tcPr>
          <w:p w14:paraId="1F7B6B8F" w14:textId="77777777" w:rsidR="00067704" w:rsidRPr="00630061" w:rsidRDefault="00067704" w:rsidP="00FC38CB">
            <w:pPr>
              <w:pStyle w:val="TableText"/>
              <w:jc w:val="right"/>
              <w:rPr>
                <w:rStyle w:val="Strong"/>
              </w:rPr>
            </w:pPr>
            <w:r w:rsidRPr="00630061">
              <w:rPr>
                <w:rStyle w:val="Strong"/>
              </w:rPr>
              <w:t>99</w:t>
            </w:r>
          </w:p>
        </w:tc>
        <w:tc>
          <w:tcPr>
            <w:tcW w:w="1029" w:type="dxa"/>
          </w:tcPr>
          <w:p w14:paraId="5CDA2151" w14:textId="77777777" w:rsidR="00067704" w:rsidRPr="00630061" w:rsidRDefault="00067704" w:rsidP="00FC38CB">
            <w:pPr>
              <w:pStyle w:val="TableText"/>
              <w:jc w:val="right"/>
              <w:rPr>
                <w:rStyle w:val="Strong"/>
              </w:rPr>
            </w:pPr>
            <w:r w:rsidRPr="00630061">
              <w:rPr>
                <w:rStyle w:val="Strong"/>
              </w:rPr>
              <w:t>1,463</w:t>
            </w:r>
          </w:p>
        </w:tc>
        <w:tc>
          <w:tcPr>
            <w:tcW w:w="1002" w:type="dxa"/>
          </w:tcPr>
          <w:p w14:paraId="373D0E7F" w14:textId="77777777" w:rsidR="00067704" w:rsidRPr="00630061" w:rsidRDefault="00067704" w:rsidP="00FC38CB">
            <w:pPr>
              <w:pStyle w:val="TableText"/>
              <w:jc w:val="right"/>
              <w:rPr>
                <w:rStyle w:val="Strong"/>
              </w:rPr>
            </w:pPr>
            <w:r w:rsidRPr="00630061">
              <w:rPr>
                <w:rStyle w:val="Strong"/>
              </w:rPr>
              <w:t>18</w:t>
            </w:r>
          </w:p>
        </w:tc>
        <w:tc>
          <w:tcPr>
            <w:tcW w:w="948" w:type="dxa"/>
          </w:tcPr>
          <w:p w14:paraId="3C61F175" w14:textId="77777777" w:rsidR="00067704" w:rsidRPr="00630061" w:rsidRDefault="00067704" w:rsidP="00FC38CB">
            <w:pPr>
              <w:pStyle w:val="TableText"/>
              <w:jc w:val="right"/>
              <w:rPr>
                <w:rStyle w:val="Strong"/>
              </w:rPr>
            </w:pPr>
            <w:r w:rsidRPr="00630061">
              <w:rPr>
                <w:rStyle w:val="Strong"/>
              </w:rPr>
              <w:t>1,228,735</w:t>
            </w:r>
          </w:p>
        </w:tc>
      </w:tr>
    </w:tbl>
    <w:p w14:paraId="7E6BD5AC" w14:textId="7E004CFF" w:rsidR="00067704" w:rsidRPr="00630061" w:rsidRDefault="007A3497" w:rsidP="00067704">
      <w:pPr>
        <w:pStyle w:val="FigureTableNoteSource"/>
        <w:rPr>
          <w:lang w:eastAsia="ja-JP"/>
        </w:rPr>
      </w:pPr>
      <w:bookmarkStart w:id="17" w:name="_Hlk204776486"/>
      <w:r w:rsidRPr="00630061">
        <w:rPr>
          <w:lang w:eastAsia="ja-JP"/>
        </w:rPr>
        <w:t>Note: F</w:t>
      </w:r>
      <w:r w:rsidR="003C156F" w:rsidRPr="00630061">
        <w:rPr>
          <w:lang w:eastAsia="ja-JP"/>
        </w:rPr>
        <w:t>igures are correct at 31 July 2025 and are subject to change</w:t>
      </w:r>
      <w:r w:rsidR="0082521E" w:rsidRPr="00630061">
        <w:rPr>
          <w:lang w:eastAsia="ja-JP"/>
        </w:rPr>
        <w:t>.</w:t>
      </w:r>
    </w:p>
    <w:p w14:paraId="7BEB973E" w14:textId="0525BED7" w:rsidR="007A3497" w:rsidRPr="00630061" w:rsidRDefault="007A3497" w:rsidP="007A3497">
      <w:pPr>
        <w:pStyle w:val="FigureTableNoteSource"/>
        <w:rPr>
          <w:lang w:eastAsia="ja-JP"/>
        </w:rPr>
      </w:pPr>
      <w:r w:rsidRPr="00630061">
        <w:rPr>
          <w:lang w:eastAsia="ja-JP"/>
        </w:rPr>
        <w:t>Source: Department of Agriculture, Fisheries and Forestry</w:t>
      </w:r>
    </w:p>
    <w:bookmarkEnd w:id="17"/>
    <w:p w14:paraId="09F121D9" w14:textId="77777777" w:rsidR="00067704" w:rsidRDefault="00067704" w:rsidP="00067704">
      <w:pPr>
        <w:rPr>
          <w:lang w:eastAsia="ja-JP"/>
        </w:rPr>
      </w:pPr>
      <w:r w:rsidRPr="00630061">
        <w:rPr>
          <w:lang w:eastAsia="ja-JP"/>
        </w:rPr>
        <w:t>Export by sea has consistently been the dominant transport</w:t>
      </w:r>
      <w:r w:rsidRPr="00F560AE">
        <w:rPr>
          <w:lang w:eastAsia="ja-JP"/>
        </w:rPr>
        <w:t xml:space="preserve"> mode, both in the number of consignments and the total livestock shipped. Over the past </w:t>
      </w:r>
      <w:r>
        <w:rPr>
          <w:lang w:eastAsia="ja-JP"/>
        </w:rPr>
        <w:t xml:space="preserve">3 </w:t>
      </w:r>
      <w:r w:rsidRPr="00F560AE">
        <w:rPr>
          <w:lang w:eastAsia="ja-JP"/>
        </w:rPr>
        <w:t>years, sea consignments have increased, driven mainly by rising cattle numbers, which have outweighed a decline in sheep shipments. After a significant jump in 2023, boosted in part by the return of camel and llama exports, air consignment numbers remained steady into 2024</w:t>
      </w:r>
      <w:r>
        <w:rPr>
          <w:lang w:eastAsia="ja-JP"/>
        </w:rPr>
        <w:t xml:space="preserve"> </w:t>
      </w:r>
      <w:r w:rsidRPr="00006F92">
        <w:rPr>
          <w:lang w:eastAsia="ja-JP"/>
        </w:rPr>
        <w:t>(</w:t>
      </w:r>
      <w:r>
        <w:rPr>
          <w:lang w:eastAsia="ja-JP"/>
        </w:rPr>
        <w:fldChar w:fldCharType="begin"/>
      </w:r>
      <w:r>
        <w:rPr>
          <w:lang w:eastAsia="ja-JP"/>
        </w:rPr>
        <w:instrText xml:space="preserve"> REF _Ref204854599 \h </w:instrText>
      </w:r>
      <w:r>
        <w:rPr>
          <w:lang w:eastAsia="ja-JP"/>
        </w:rPr>
      </w:r>
      <w:r>
        <w:rPr>
          <w:lang w:eastAsia="ja-JP"/>
        </w:rPr>
        <w:fldChar w:fldCharType="separate"/>
      </w:r>
      <w:r>
        <w:t xml:space="preserve">Figure </w:t>
      </w:r>
      <w:r>
        <w:rPr>
          <w:noProof/>
        </w:rPr>
        <w:t>1</w:t>
      </w:r>
      <w:r>
        <w:rPr>
          <w:lang w:eastAsia="ja-JP"/>
        </w:rPr>
        <w:fldChar w:fldCharType="end"/>
      </w:r>
      <w:r w:rsidRPr="00006F92">
        <w:rPr>
          <w:lang w:eastAsia="ja-JP"/>
        </w:rPr>
        <w:t>).</w:t>
      </w:r>
    </w:p>
    <w:p w14:paraId="02AC26C7" w14:textId="77777777" w:rsidR="00067704" w:rsidRDefault="00067704" w:rsidP="00067704">
      <w:pPr>
        <w:pStyle w:val="Caption"/>
        <w:rPr>
          <w:lang w:eastAsia="ja-JP"/>
        </w:rPr>
      </w:pPr>
      <w:bookmarkStart w:id="18" w:name="_Ref204854599"/>
      <w:bookmarkStart w:id="19" w:name="_Toc206078642"/>
      <w:r w:rsidRPr="00F20619">
        <w:t xml:space="preserve">Figure </w:t>
      </w:r>
      <w:r w:rsidRPr="00F20619">
        <w:fldChar w:fldCharType="begin"/>
      </w:r>
      <w:r w:rsidRPr="00F20619">
        <w:instrText xml:space="preserve"> SEQ Figure \* ARABIC </w:instrText>
      </w:r>
      <w:r w:rsidRPr="00F20619">
        <w:fldChar w:fldCharType="separate"/>
      </w:r>
      <w:r w:rsidRPr="00F20619">
        <w:rPr>
          <w:noProof/>
        </w:rPr>
        <w:t>1</w:t>
      </w:r>
      <w:r w:rsidRPr="00F20619">
        <w:fldChar w:fldCharType="end"/>
      </w:r>
      <w:bookmarkEnd w:id="18"/>
      <w:r w:rsidRPr="00F20619">
        <w:t xml:space="preserve"> Livestock con</w:t>
      </w:r>
      <w:r w:rsidRPr="00F20619">
        <w:rPr>
          <w:lang w:eastAsia="ja-JP"/>
        </w:rPr>
        <w:t>signments by air and sea, 2022–23 to 2024–25</w:t>
      </w:r>
      <w:bookmarkEnd w:id="19"/>
    </w:p>
    <w:p w14:paraId="6CCD3154" w14:textId="37A76B1C" w:rsidR="00897E1F" w:rsidRDefault="00897E1F" w:rsidP="00067704">
      <w:pPr>
        <w:rPr>
          <w:noProof/>
          <w:lang w:eastAsia="ja-JP"/>
        </w:rPr>
      </w:pPr>
      <w:bookmarkStart w:id="20" w:name="_Toc202180344"/>
      <w:r>
        <w:rPr>
          <w:noProof/>
          <w:lang w:eastAsia="ja-JP"/>
        </w:rPr>
        <w:drawing>
          <wp:inline distT="0" distB="0" distL="0" distR="0" wp14:anchorId="2CC4ED56" wp14:editId="449F8BBC">
            <wp:extent cx="4564380" cy="2887980"/>
            <wp:effectExtent l="0" t="0" r="7620" b="7620"/>
            <wp:docPr id="1812558202" name="Picture 1" descr="The column chart shows that livestock consignments by air increased slightly from 78 in 2022-23 to 110 in 2023-24 and then remained steady to 2024-25. Livestock consignments by sea increased from 245 in 2022-23 to 270 in 2023-24 and increased again in 2024-25 to 298 consig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58202" name="Picture 1" descr="The column chart shows that livestock consignments by air increased slightly from 78 in 2022-23 to 110 in 2023-24 and then remained steady to 2024-25. Livestock consignments by sea increased from 245 in 2022-23 to 270 in 2023-24 and increased again in 2024-25 to 298 consignment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64380" cy="2887980"/>
                    </a:xfrm>
                    <a:prstGeom prst="rect">
                      <a:avLst/>
                    </a:prstGeom>
                    <a:noFill/>
                  </pic:spPr>
                </pic:pic>
              </a:graphicData>
            </a:graphic>
          </wp:inline>
        </w:drawing>
      </w:r>
    </w:p>
    <w:p w14:paraId="21584276" w14:textId="16EA5ABB" w:rsidR="00067704" w:rsidRPr="00536170" w:rsidRDefault="00897E1F" w:rsidP="00897E1F">
      <w:pPr>
        <w:pStyle w:val="FigureTableNoteSource"/>
      </w:pPr>
      <w:r w:rsidRPr="00897E1F">
        <w:t>Source: Department of Agriculture, Fisheries and Forestry</w:t>
      </w:r>
    </w:p>
    <w:p w14:paraId="5434176E" w14:textId="51B7127C" w:rsidR="00764D6A" w:rsidRDefault="00295114" w:rsidP="007E39EF">
      <w:pPr>
        <w:pStyle w:val="Heading2"/>
        <w:numPr>
          <w:ilvl w:val="0"/>
          <w:numId w:val="0"/>
        </w:numPr>
        <w:ind w:left="720" w:hanging="720"/>
      </w:pPr>
      <w:bookmarkStart w:id="21" w:name="_Toc206400974"/>
      <w:bookmarkEnd w:id="20"/>
      <w:r>
        <w:lastRenderedPageBreak/>
        <w:t xml:space="preserve">Purpose, </w:t>
      </w:r>
      <w:r w:rsidR="00E91D72" w:rsidRPr="00DB71A3">
        <w:t>ro</w:t>
      </w:r>
      <w:r>
        <w:t>le</w:t>
      </w:r>
      <w:bookmarkEnd w:id="14"/>
      <w:r>
        <w:t xml:space="preserve"> and function</w:t>
      </w:r>
      <w:bookmarkEnd w:id="21"/>
    </w:p>
    <w:p w14:paraId="35034C3B" w14:textId="35D5FA8A" w:rsidR="005D3D65" w:rsidRPr="005D3D65" w:rsidRDefault="005D3D65" w:rsidP="005D3D65">
      <w:r w:rsidRPr="005D3D65">
        <w:t xml:space="preserve">The Inspector-General of Animal Welfare and Live Animal Exports (IGAWLAE) reviews the performance of functions and exercise of powers by the Department of Agriculture, Fisheries and Forestry in regulating livestock exports under the </w:t>
      </w:r>
      <w:r w:rsidRPr="005D3D65">
        <w:rPr>
          <w:rStyle w:val="Emphasis"/>
        </w:rPr>
        <w:t>Export Control Act 2020</w:t>
      </w:r>
      <w:r w:rsidRPr="005D3D65">
        <w:t xml:space="preserve"> and the Export Control (Animals) Rules 2021.</w:t>
      </w:r>
    </w:p>
    <w:p w14:paraId="5A904A33" w14:textId="7EFAC2F9" w:rsidR="005D3D65" w:rsidRPr="005D3D65" w:rsidRDefault="005D3D65" w:rsidP="005D3D65">
      <w:r w:rsidRPr="005D3D65">
        <w:t xml:space="preserve">The </w:t>
      </w:r>
      <w:r w:rsidR="00492017">
        <w:t>I</w:t>
      </w:r>
      <w:r w:rsidR="00492017" w:rsidRPr="005D3D65">
        <w:t>nspector-</w:t>
      </w:r>
      <w:r w:rsidR="00492017">
        <w:t>G</w:t>
      </w:r>
      <w:r w:rsidR="00492017" w:rsidRPr="005D3D65">
        <w:t>eneral</w:t>
      </w:r>
      <w:r w:rsidRPr="005D3D65">
        <w:t xml:space="preserve"> is an independent statutory office holder with functions and powers</w:t>
      </w:r>
      <w:r w:rsidR="00A231D1">
        <w:t xml:space="preserve"> under</w:t>
      </w:r>
      <w:r w:rsidRPr="005D3D65">
        <w:t xml:space="preserve"> the </w:t>
      </w:r>
      <w:r w:rsidRPr="005D3D65">
        <w:rPr>
          <w:i/>
          <w:iCs/>
        </w:rPr>
        <w:t xml:space="preserve">Inspector-General of Animal Welfare and Live Animal Exports Act 2019 </w:t>
      </w:r>
      <w:r w:rsidRPr="005D3D65">
        <w:t>(IGAWLAE Act).</w:t>
      </w:r>
    </w:p>
    <w:p w14:paraId="6C7B6D67" w14:textId="5CCEA8B4" w:rsidR="005D3D65" w:rsidRPr="005D3D65" w:rsidRDefault="005D3D65" w:rsidP="005D3D65">
      <w:r w:rsidRPr="005D3D65">
        <w:t xml:space="preserve">The </w:t>
      </w:r>
      <w:r w:rsidR="00492017">
        <w:t>I</w:t>
      </w:r>
      <w:r w:rsidR="00492017" w:rsidRPr="005D3D65">
        <w:t>nspector-</w:t>
      </w:r>
      <w:r w:rsidR="00492017">
        <w:t>G</w:t>
      </w:r>
      <w:r w:rsidR="00492017" w:rsidRPr="005D3D65">
        <w:t>eneral</w:t>
      </w:r>
      <w:r w:rsidRPr="005D3D65">
        <w:t xml:space="preserve"> role was established in 2019 under the </w:t>
      </w:r>
      <w:r w:rsidRPr="005D3D65">
        <w:rPr>
          <w:i/>
          <w:iCs/>
        </w:rPr>
        <w:t>Inspector-General of Live Animal Exports Act 2019</w:t>
      </w:r>
      <w:r w:rsidRPr="005D3D65">
        <w:t>. On 4 December 2023, this Act was amended to the IGAWLAE Act to strengthen animal welfare and increase accountability and transparency for animal welfare in livestock exports.</w:t>
      </w:r>
    </w:p>
    <w:p w14:paraId="5620F151" w14:textId="001731AC" w:rsidR="005D3D65" w:rsidRPr="005D3D65" w:rsidRDefault="005D3D65" w:rsidP="005D3D65">
      <w:r w:rsidRPr="005D3D65">
        <w:t>This means</w:t>
      </w:r>
      <w:r w:rsidR="007E3631">
        <w:t xml:space="preserve"> that the</w:t>
      </w:r>
      <w:r w:rsidRPr="005D3D65">
        <w:t>:</w:t>
      </w:r>
    </w:p>
    <w:p w14:paraId="48D695A7" w14:textId="62C32FB2" w:rsidR="005D3D65" w:rsidRPr="00A231D1" w:rsidRDefault="005D3D65" w:rsidP="005A7DA8">
      <w:pPr>
        <w:pStyle w:val="ListBullet"/>
      </w:pPr>
      <w:r w:rsidRPr="00A231D1">
        <w:t xml:space="preserve">functions and powers of the </w:t>
      </w:r>
      <w:r w:rsidR="00492017" w:rsidRPr="00A231D1">
        <w:t>Inspector-General</w:t>
      </w:r>
      <w:r w:rsidRPr="00A231D1">
        <w:t xml:space="preserve"> are set out in the legislation</w:t>
      </w:r>
    </w:p>
    <w:p w14:paraId="6B3810B7" w14:textId="61E3B611" w:rsidR="005D3D65" w:rsidRPr="00A231D1" w:rsidRDefault="00492017" w:rsidP="005A7DA8">
      <w:pPr>
        <w:pStyle w:val="ListBullet"/>
      </w:pPr>
      <w:r w:rsidRPr="00A231D1">
        <w:t>Inspector-General</w:t>
      </w:r>
      <w:r w:rsidR="005D3D65" w:rsidRPr="00A231D1">
        <w:t xml:space="preserve"> is appointed by the Minister for Agriculture, Fisheries and Forestry</w:t>
      </w:r>
    </w:p>
    <w:p w14:paraId="60E62FA5" w14:textId="1E497AD8" w:rsidR="005D3D65" w:rsidRPr="00A231D1" w:rsidRDefault="00492017" w:rsidP="005A7DA8">
      <w:pPr>
        <w:pStyle w:val="ListBullet"/>
      </w:pPr>
      <w:r w:rsidRPr="00A231D1">
        <w:t>Inspector-General</w:t>
      </w:r>
      <w:r w:rsidR="005D3D65" w:rsidRPr="00A231D1">
        <w:t xml:space="preserve"> is appointed for a set term (5 years).</w:t>
      </w:r>
    </w:p>
    <w:p w14:paraId="79BEADD2" w14:textId="77777777" w:rsidR="005D3D65" w:rsidRPr="005D3D65" w:rsidRDefault="005D3D65" w:rsidP="00123995">
      <w:pPr>
        <w:pStyle w:val="Heading3"/>
        <w:numPr>
          <w:ilvl w:val="0"/>
          <w:numId w:val="0"/>
        </w:numPr>
      </w:pPr>
      <w:bookmarkStart w:id="22" w:name="_Toc196741102"/>
      <w:bookmarkStart w:id="23" w:name="_Toc206400975"/>
      <w:r w:rsidRPr="00A231D1">
        <w:t>Purpose</w:t>
      </w:r>
      <w:bookmarkEnd w:id="22"/>
      <w:bookmarkEnd w:id="23"/>
    </w:p>
    <w:p w14:paraId="231F4C2C" w14:textId="278DBC90" w:rsidR="005D3D65" w:rsidRPr="005D3D65" w:rsidRDefault="005D3D65" w:rsidP="005D3D65">
      <w:bookmarkStart w:id="24" w:name="_Toc196741103"/>
      <w:r w:rsidRPr="00A231D1">
        <w:t xml:space="preserve">Our purpose is to provide independent assurance to the minister and the public as to whether the department </w:t>
      </w:r>
      <w:r w:rsidR="00A231D1" w:rsidRPr="00A231D1">
        <w:t>is</w:t>
      </w:r>
      <w:r w:rsidRPr="00A231D1">
        <w:t xml:space="preserve"> properly performing its functions as regulator</w:t>
      </w:r>
      <w:r w:rsidRPr="005D3D65">
        <w:t xml:space="preserve"> of the livestock export industry.</w:t>
      </w:r>
    </w:p>
    <w:p w14:paraId="02BA09A2" w14:textId="77777777" w:rsidR="005D3D65" w:rsidRPr="00491419" w:rsidRDefault="005D3D65" w:rsidP="005D3D65">
      <w:r w:rsidRPr="005D3D65">
        <w:t xml:space="preserve">The purpose is guided by the role of the Inspector-General of Animal Welfare and Live Animal </w:t>
      </w:r>
      <w:r w:rsidRPr="00491419">
        <w:t>Exports outlined in Section 10 of the IGAWLAE Act:</w:t>
      </w:r>
    </w:p>
    <w:p w14:paraId="36103091" w14:textId="38D5CF15" w:rsidR="005D3D65" w:rsidRPr="00491419" w:rsidRDefault="005D3D65" w:rsidP="00536170">
      <w:r w:rsidRPr="00491419">
        <w:t>The IGAWLAE monitors, investigates and reports on the department’s implementation of animal welfare and live animal export legislation and standards with the intention of:</w:t>
      </w:r>
      <w:bookmarkEnd w:id="24"/>
    </w:p>
    <w:p w14:paraId="262404AB" w14:textId="77777777" w:rsidR="005D3D65" w:rsidRPr="00491419" w:rsidRDefault="005D3D65" w:rsidP="00536170">
      <w:pPr>
        <w:pStyle w:val="ListBullet"/>
      </w:pPr>
      <w:r w:rsidRPr="00491419">
        <w:t>promoting continual improvements in the regulatory practice, performance and culture of the department</w:t>
      </w:r>
    </w:p>
    <w:p w14:paraId="4ED3E45E" w14:textId="77777777" w:rsidR="005D3D65" w:rsidRPr="00491419" w:rsidRDefault="005D3D65" w:rsidP="00536170">
      <w:pPr>
        <w:pStyle w:val="ListBullet"/>
      </w:pPr>
      <w:r w:rsidRPr="00491419">
        <w:t>providing an additional layer of accountability and assurance of the regulation of Australia’s livestock exports</w:t>
      </w:r>
    </w:p>
    <w:p w14:paraId="31ECD898" w14:textId="77777777" w:rsidR="005D3D65" w:rsidRPr="00491419" w:rsidRDefault="005D3D65" w:rsidP="00536170">
      <w:pPr>
        <w:pStyle w:val="ListBullet"/>
      </w:pPr>
      <w:r w:rsidRPr="00491419">
        <w:t>ensuring livestock export officials consider the welfare of animals when performing functions and exercising their powers</w:t>
      </w:r>
    </w:p>
    <w:p w14:paraId="663E0F04" w14:textId="0A69F45C" w:rsidR="005D3D65" w:rsidRPr="00491419" w:rsidRDefault="005D3D65" w:rsidP="00536170">
      <w:pPr>
        <w:pStyle w:val="ListBullet"/>
        <w:rPr>
          <w:b/>
          <w:bCs/>
        </w:rPr>
      </w:pPr>
      <w:r w:rsidRPr="00491419">
        <w:t>increasing accountability, regulatory compliance and transparency with Australia’s livestock export legislation and standards.</w:t>
      </w:r>
    </w:p>
    <w:p w14:paraId="396BDF4E" w14:textId="77777777" w:rsidR="005D3D65" w:rsidRPr="005D3D65" w:rsidRDefault="005D3D65" w:rsidP="00123995">
      <w:pPr>
        <w:pStyle w:val="Heading3"/>
        <w:numPr>
          <w:ilvl w:val="0"/>
          <w:numId w:val="0"/>
        </w:numPr>
      </w:pPr>
      <w:bookmarkStart w:id="25" w:name="_Toc206400976"/>
      <w:r w:rsidRPr="005D3D65">
        <w:t>Functions</w:t>
      </w:r>
      <w:bookmarkEnd w:id="25"/>
    </w:p>
    <w:p w14:paraId="7A6275CB" w14:textId="7F3E9F00" w:rsidR="005D3D65" w:rsidRPr="00A231D1" w:rsidRDefault="005D3D65" w:rsidP="005D3D65">
      <w:r w:rsidRPr="005D3D65">
        <w:t xml:space="preserve">Conducting reviews is the main activity the </w:t>
      </w:r>
      <w:r w:rsidR="00492017">
        <w:t>I</w:t>
      </w:r>
      <w:r w:rsidR="00492017" w:rsidRPr="005D3D65">
        <w:t>nspector-</w:t>
      </w:r>
      <w:r w:rsidR="00492017">
        <w:t>G</w:t>
      </w:r>
      <w:r w:rsidR="00492017" w:rsidRPr="005D3D65">
        <w:t>eneral</w:t>
      </w:r>
      <w:r w:rsidRPr="005D3D65">
        <w:t xml:space="preserve"> uses to deliver on the purpose. Reviews can provide transparency and accountability for a regulatory system that has a high level of public interest. The reviews also deliver observations, findings and </w:t>
      </w:r>
      <w:r w:rsidRPr="00A231D1">
        <w:t>recommendations t</w:t>
      </w:r>
      <w:r w:rsidR="00A231D1" w:rsidRPr="00A231D1">
        <w:t>hat</w:t>
      </w:r>
      <w:r w:rsidRPr="00A231D1">
        <w:t xml:space="preserve"> identify</w:t>
      </w:r>
      <w:r w:rsidRPr="005D3D65">
        <w:t xml:space="preserve"> </w:t>
      </w:r>
      <w:r w:rsidR="00A231D1">
        <w:t xml:space="preserve">potential </w:t>
      </w:r>
      <w:r w:rsidRPr="00A231D1">
        <w:t>improvements to the department’s livestock export systems.</w:t>
      </w:r>
    </w:p>
    <w:p w14:paraId="2E4DF15F" w14:textId="77777777" w:rsidR="005D3D65" w:rsidRPr="00F20619" w:rsidRDefault="005D3D65" w:rsidP="00123995">
      <w:pPr>
        <w:pStyle w:val="Heading3"/>
        <w:numPr>
          <w:ilvl w:val="0"/>
          <w:numId w:val="0"/>
        </w:numPr>
      </w:pPr>
      <w:bookmarkStart w:id="26" w:name="_Toc206400977"/>
      <w:r w:rsidRPr="00F20619">
        <w:lastRenderedPageBreak/>
        <w:t>Annual work plan</w:t>
      </w:r>
      <w:bookmarkEnd w:id="26"/>
    </w:p>
    <w:p w14:paraId="7F319077" w14:textId="711C1A6E" w:rsidR="005D3D65" w:rsidRPr="00F20619" w:rsidRDefault="005D3D65" w:rsidP="005D3D65">
      <w:r w:rsidRPr="00F20619">
        <w:t xml:space="preserve">The </w:t>
      </w:r>
      <w:r w:rsidR="00492017" w:rsidRPr="00F20619">
        <w:t>Inspector-General</w:t>
      </w:r>
      <w:r w:rsidRPr="00F20619">
        <w:t xml:space="preserve"> must develop a</w:t>
      </w:r>
      <w:r w:rsidR="00D15833" w:rsidRPr="00F20619">
        <w:t xml:space="preserve">n </w:t>
      </w:r>
      <w:hyperlink r:id="rId26" w:history="1">
        <w:r w:rsidR="00D15833" w:rsidRPr="00F20619">
          <w:rPr>
            <w:rStyle w:val="Hyperlink"/>
          </w:rPr>
          <w:t>annual work plan</w:t>
        </w:r>
      </w:hyperlink>
      <w:r w:rsidRPr="00F20619">
        <w:t xml:space="preserve"> for each financial year. The work </w:t>
      </w:r>
      <w:r w:rsidR="0072740C" w:rsidRPr="00F20619">
        <w:t>plan</w:t>
      </w:r>
      <w:r w:rsidRPr="00F20619">
        <w:t xml:space="preserve"> sets out the key outcomes and priorities for the year, including the reviews that are </w:t>
      </w:r>
      <w:r w:rsidR="00A231D1" w:rsidRPr="00F20619">
        <w:t xml:space="preserve">scheduled </w:t>
      </w:r>
      <w:r w:rsidRPr="00F20619">
        <w:t>to be conducted along with details of the reviews.</w:t>
      </w:r>
    </w:p>
    <w:p w14:paraId="2B8025F5" w14:textId="41BFCABA" w:rsidR="005D3D65" w:rsidRPr="00F20619" w:rsidRDefault="005D3D65" w:rsidP="005D3D65">
      <w:r w:rsidRPr="00F20619">
        <w:t xml:space="preserve">The </w:t>
      </w:r>
      <w:r w:rsidR="00492017" w:rsidRPr="00F20619">
        <w:t>Inspector-General</w:t>
      </w:r>
      <w:r w:rsidRPr="00F20619">
        <w:t xml:space="preserve"> must consult with the </w:t>
      </w:r>
      <w:r w:rsidR="00A231D1" w:rsidRPr="00F20619">
        <w:t>m</w:t>
      </w:r>
      <w:r w:rsidRPr="00F20619">
        <w:t>inister in preparing the work p</w:t>
      </w:r>
      <w:r w:rsidR="0072740C" w:rsidRPr="00F20619">
        <w:t>lan</w:t>
      </w:r>
      <w:r w:rsidRPr="00F20619">
        <w:t xml:space="preserve">, along with any other person the </w:t>
      </w:r>
      <w:r w:rsidR="00295E47" w:rsidRPr="00F20619">
        <w:t>I</w:t>
      </w:r>
      <w:r w:rsidRPr="00F20619">
        <w:t>nspector-</w:t>
      </w:r>
      <w:r w:rsidR="00295E47" w:rsidRPr="00F20619">
        <w:t>G</w:t>
      </w:r>
      <w:r w:rsidRPr="00F20619">
        <w:t xml:space="preserve">eneral considers appropriate. The </w:t>
      </w:r>
      <w:r w:rsidR="00295E47" w:rsidRPr="00F20619">
        <w:t>I</w:t>
      </w:r>
      <w:r w:rsidRPr="00F20619">
        <w:t>nspector-</w:t>
      </w:r>
      <w:r w:rsidR="00295E47" w:rsidRPr="00F20619">
        <w:t>G</w:t>
      </w:r>
      <w:r w:rsidRPr="00F20619">
        <w:t xml:space="preserve">eneral is not subject to direction by the </w:t>
      </w:r>
      <w:r w:rsidR="00295E47" w:rsidRPr="00F20619">
        <w:t>m</w:t>
      </w:r>
      <w:r w:rsidRPr="00F20619">
        <w:t>inister in preparing a work p</w:t>
      </w:r>
      <w:r w:rsidR="00EA6043" w:rsidRPr="00F20619">
        <w:t>lan</w:t>
      </w:r>
      <w:r w:rsidRPr="00F20619">
        <w:t>.</w:t>
      </w:r>
    </w:p>
    <w:p w14:paraId="66D294C7" w14:textId="7349C337" w:rsidR="00EB598A" w:rsidRPr="00F20619" w:rsidRDefault="005D3D65" w:rsidP="005D3D65">
      <w:r w:rsidRPr="00F20619">
        <w:t xml:space="preserve">The </w:t>
      </w:r>
      <w:r w:rsidR="00295E47" w:rsidRPr="00F20619">
        <w:t>I</w:t>
      </w:r>
      <w:r w:rsidRPr="00F20619">
        <w:t>nspector-</w:t>
      </w:r>
      <w:r w:rsidR="00295E47" w:rsidRPr="00F20619">
        <w:t>G</w:t>
      </w:r>
      <w:r w:rsidRPr="00F20619">
        <w:t xml:space="preserve">eneral must publish the </w:t>
      </w:r>
      <w:r w:rsidR="00350062" w:rsidRPr="00F20619">
        <w:t>annual work plan</w:t>
      </w:r>
      <w:r w:rsidRPr="00F20619">
        <w:t xml:space="preserve"> on the </w:t>
      </w:r>
      <w:r w:rsidR="00EA6043" w:rsidRPr="00F20619">
        <w:t>IGAWLAE</w:t>
      </w:r>
      <w:r w:rsidRPr="00F20619">
        <w:t xml:space="preserve"> website as soon as practicable after it has been finalised. The annual work p</w:t>
      </w:r>
      <w:r w:rsidR="00EA6043" w:rsidRPr="00F20619">
        <w:t>lan</w:t>
      </w:r>
      <w:r w:rsidRPr="00F20619">
        <w:t xml:space="preserve"> can be varied if the </w:t>
      </w:r>
      <w:r w:rsidR="00295E47" w:rsidRPr="00F20619">
        <w:t>I</w:t>
      </w:r>
      <w:r w:rsidRPr="00F20619">
        <w:t>nspector-</w:t>
      </w:r>
      <w:r w:rsidR="00295E47" w:rsidRPr="00F20619">
        <w:t>G</w:t>
      </w:r>
      <w:r w:rsidRPr="00F20619">
        <w:t xml:space="preserve">eneral is satisfied that it is reasonable and appropriate to do so. The new varied work </w:t>
      </w:r>
      <w:r w:rsidR="00EA6043" w:rsidRPr="00F20619">
        <w:t>plan</w:t>
      </w:r>
      <w:r w:rsidRPr="00F20619">
        <w:t xml:space="preserve"> must be published</w:t>
      </w:r>
      <w:r w:rsidR="00295E47" w:rsidRPr="00F20619">
        <w:t>.</w:t>
      </w:r>
    </w:p>
    <w:p w14:paraId="35D88901" w14:textId="1132D99A" w:rsidR="005D3D65" w:rsidRPr="00F20619" w:rsidRDefault="005D3D65" w:rsidP="00123995">
      <w:pPr>
        <w:pStyle w:val="Heading3"/>
        <w:numPr>
          <w:ilvl w:val="0"/>
          <w:numId w:val="0"/>
        </w:numPr>
      </w:pPr>
      <w:bookmarkStart w:id="27" w:name="_Toc206400978"/>
      <w:r w:rsidRPr="00F20619">
        <w:t>Review process</w:t>
      </w:r>
      <w:bookmarkEnd w:id="27"/>
    </w:p>
    <w:p w14:paraId="4F0CB41E" w14:textId="0F8A2362" w:rsidR="005D3D65" w:rsidRPr="00F20619" w:rsidRDefault="005D3D65" w:rsidP="005D3D65">
      <w:r w:rsidRPr="00F20619">
        <w:t xml:space="preserve">The </w:t>
      </w:r>
      <w:r w:rsidR="00295E47" w:rsidRPr="00F20619">
        <w:t>I</w:t>
      </w:r>
      <w:r w:rsidRPr="00F20619">
        <w:t>nspector-</w:t>
      </w:r>
      <w:r w:rsidR="00295E47" w:rsidRPr="00F20619">
        <w:t>G</w:t>
      </w:r>
      <w:r w:rsidRPr="00F20619">
        <w:t xml:space="preserve">eneral may conduct a review on their own initiative. The </w:t>
      </w:r>
      <w:r w:rsidR="00295E47" w:rsidRPr="00F20619">
        <w:t>m</w:t>
      </w:r>
      <w:r w:rsidRPr="00F20619">
        <w:t xml:space="preserve">inister may also, in writing, direct the </w:t>
      </w:r>
      <w:r w:rsidR="00295E47" w:rsidRPr="00F20619">
        <w:t>I</w:t>
      </w:r>
      <w:r w:rsidRPr="00F20619">
        <w:t>nspector-</w:t>
      </w:r>
      <w:r w:rsidR="00295E47" w:rsidRPr="00F20619">
        <w:t>G</w:t>
      </w:r>
      <w:r w:rsidRPr="00F20619">
        <w:t>eneral to conduct a particular review. This is referred to as a directed review under section 10 of the IGAWLAE A</w:t>
      </w:r>
      <w:r w:rsidR="00295E47" w:rsidRPr="00F20619">
        <w:t>ct</w:t>
      </w:r>
      <w:r w:rsidRPr="00F20619">
        <w:t xml:space="preserve">. When directing a review, the </w:t>
      </w:r>
      <w:r w:rsidR="00295E47" w:rsidRPr="00F20619">
        <w:t>m</w:t>
      </w:r>
      <w:r w:rsidRPr="00F20619">
        <w:t xml:space="preserve">inister must have regard for the objects of the IGAWLAE Act, the functions of the </w:t>
      </w:r>
      <w:r w:rsidR="00295E47" w:rsidRPr="00F20619">
        <w:t>I</w:t>
      </w:r>
      <w:r w:rsidRPr="00F20619">
        <w:t>nspector-</w:t>
      </w:r>
      <w:r w:rsidR="00295E47" w:rsidRPr="00F20619">
        <w:t>G</w:t>
      </w:r>
      <w:r w:rsidRPr="00F20619">
        <w:t>eneral, the work p</w:t>
      </w:r>
      <w:r w:rsidR="00EA6043" w:rsidRPr="00F20619">
        <w:t>lan</w:t>
      </w:r>
      <w:r w:rsidRPr="00F20619">
        <w:t xml:space="preserve"> and available resources. The </w:t>
      </w:r>
      <w:r w:rsidR="00295E47" w:rsidRPr="00F20619">
        <w:t>I</w:t>
      </w:r>
      <w:r w:rsidRPr="00F20619">
        <w:t>nspector-</w:t>
      </w:r>
      <w:r w:rsidR="00295E47" w:rsidRPr="00F20619">
        <w:t>G</w:t>
      </w:r>
      <w:r w:rsidRPr="00F20619">
        <w:t xml:space="preserve">eneral must comply with a direction from the </w:t>
      </w:r>
      <w:r w:rsidR="00295E47" w:rsidRPr="00F20619">
        <w:t>m</w:t>
      </w:r>
      <w:r w:rsidRPr="00F20619">
        <w:t>inister.</w:t>
      </w:r>
    </w:p>
    <w:p w14:paraId="3566CB0D" w14:textId="3FB29A0A" w:rsidR="005D3D65" w:rsidRPr="00F20619" w:rsidRDefault="005D3D65" w:rsidP="005D3D65">
      <w:r w:rsidRPr="00F20619">
        <w:t xml:space="preserve">The </w:t>
      </w:r>
      <w:r w:rsidR="00295E47" w:rsidRPr="00F20619">
        <w:t>I</w:t>
      </w:r>
      <w:r w:rsidRPr="00F20619">
        <w:t>nspector-</w:t>
      </w:r>
      <w:r w:rsidR="00295E47" w:rsidRPr="00F20619">
        <w:t>G</w:t>
      </w:r>
      <w:r w:rsidRPr="00F20619">
        <w:t xml:space="preserve">eneral must consult with the </w:t>
      </w:r>
      <w:r w:rsidR="00295E47" w:rsidRPr="00F20619">
        <w:t>m</w:t>
      </w:r>
      <w:r w:rsidRPr="00F20619">
        <w:t xml:space="preserve">inister following a directed review. The consultation is to help determine the terms of reference and the priority of the review. The independence of the </w:t>
      </w:r>
      <w:r w:rsidR="00295E47" w:rsidRPr="00F20619">
        <w:t>I</w:t>
      </w:r>
      <w:r w:rsidRPr="00F20619">
        <w:t>nspector-</w:t>
      </w:r>
      <w:r w:rsidR="00295E47" w:rsidRPr="00F20619">
        <w:t>G</w:t>
      </w:r>
      <w:r w:rsidRPr="00F20619">
        <w:t xml:space="preserve">eneral means they are not subject to direction by the </w:t>
      </w:r>
      <w:r w:rsidR="00295E47" w:rsidRPr="00F20619">
        <w:t>m</w:t>
      </w:r>
      <w:r w:rsidRPr="00F20619">
        <w:t>inister on these matters.</w:t>
      </w:r>
    </w:p>
    <w:p w14:paraId="438877A2" w14:textId="017D55B2" w:rsidR="005D3D65" w:rsidRPr="00295E47" w:rsidRDefault="00295E47" w:rsidP="005D3D65">
      <w:r w:rsidRPr="00F20619">
        <w:t>Another minister, or t</w:t>
      </w:r>
      <w:r w:rsidR="005D3D65" w:rsidRPr="00F20619">
        <w:t xml:space="preserve">he </w:t>
      </w:r>
      <w:r w:rsidRPr="00F20619">
        <w:t>s</w:t>
      </w:r>
      <w:r w:rsidR="005D3D65" w:rsidRPr="00F20619">
        <w:t xml:space="preserve">ecretary of the department, may also request the </w:t>
      </w:r>
      <w:r w:rsidRPr="00F20619">
        <w:t>I</w:t>
      </w:r>
      <w:r w:rsidR="005D3D65" w:rsidRPr="00F20619">
        <w:t>nspector-</w:t>
      </w:r>
      <w:r w:rsidRPr="00F20619">
        <w:t>G</w:t>
      </w:r>
      <w:r w:rsidR="005D3D65" w:rsidRPr="00F20619">
        <w:t xml:space="preserve">eneral to conduct a particular review. However, the </w:t>
      </w:r>
      <w:r w:rsidRPr="00F20619">
        <w:t>I</w:t>
      </w:r>
      <w:r w:rsidR="005D3D65" w:rsidRPr="00F20619">
        <w:t>nspector-</w:t>
      </w:r>
      <w:r w:rsidRPr="00F20619">
        <w:t>G</w:t>
      </w:r>
      <w:r w:rsidR="005D3D65" w:rsidRPr="00F20619">
        <w:t>eneral is not required to comply with this request.</w:t>
      </w:r>
    </w:p>
    <w:p w14:paraId="65624762" w14:textId="41BADC53" w:rsidR="005D3D65" w:rsidRDefault="00295E47" w:rsidP="005D3D65">
      <w:r w:rsidRPr="00295E47">
        <w:t xml:space="preserve">Under section 11 of the IGAWLAE Act, </w:t>
      </w:r>
      <w:r w:rsidR="005D3D65" w:rsidRPr="00295E47">
        <w:t xml:space="preserve">the </w:t>
      </w:r>
      <w:r w:rsidRPr="00295E47">
        <w:t>I</w:t>
      </w:r>
      <w:r w:rsidR="005D3D65" w:rsidRPr="00295E47">
        <w:t>nspector-</w:t>
      </w:r>
      <w:r w:rsidRPr="00295E47">
        <w:t>G</w:t>
      </w:r>
      <w:r w:rsidR="005D3D65" w:rsidRPr="00295E47">
        <w:t xml:space="preserve">eneral will require information. The </w:t>
      </w:r>
      <w:r w:rsidRPr="00295E47">
        <w:t>I</w:t>
      </w:r>
      <w:r w:rsidR="005D3D65" w:rsidRPr="00295E47">
        <w:t>nspector-</w:t>
      </w:r>
      <w:r w:rsidRPr="00295E47">
        <w:t>G</w:t>
      </w:r>
      <w:r w:rsidR="005D3D65" w:rsidRPr="00295E47">
        <w:t xml:space="preserve">eneral may require a person to answer questions or give information in writing if the </w:t>
      </w:r>
      <w:r w:rsidR="00492017" w:rsidRPr="00295E47">
        <w:t>Inspector-General</w:t>
      </w:r>
      <w:r w:rsidR="005D3D65" w:rsidRPr="00295E47">
        <w:t xml:space="preserve"> reasonably believes it is relevant to the review</w:t>
      </w:r>
      <w:r w:rsidR="00287BD1" w:rsidRPr="00295E47">
        <w:t xml:space="preserve"> (</w:t>
      </w:r>
      <w:r w:rsidR="00287BD1" w:rsidRPr="00295E47">
        <w:fldChar w:fldCharType="begin"/>
      </w:r>
      <w:r w:rsidR="00287BD1" w:rsidRPr="00295E47">
        <w:instrText xml:space="preserve"> REF _Ref204262295 \h </w:instrText>
      </w:r>
      <w:r>
        <w:instrText xml:space="preserve"> \* MERGEFORMAT </w:instrText>
      </w:r>
      <w:r w:rsidR="00287BD1" w:rsidRPr="00295E47">
        <w:fldChar w:fldCharType="separate"/>
      </w:r>
      <w:r w:rsidR="00287BD1" w:rsidRPr="00295E47">
        <w:t xml:space="preserve">Figure </w:t>
      </w:r>
      <w:r w:rsidR="00287BD1" w:rsidRPr="00295E47">
        <w:rPr>
          <w:noProof/>
        </w:rPr>
        <w:t>2</w:t>
      </w:r>
      <w:r w:rsidR="00287BD1" w:rsidRPr="00295E47">
        <w:fldChar w:fldCharType="end"/>
      </w:r>
      <w:r w:rsidR="00287BD1" w:rsidRPr="00295E47">
        <w:t>)</w:t>
      </w:r>
      <w:r w:rsidR="00707721">
        <w:t>.</w:t>
      </w:r>
    </w:p>
    <w:p w14:paraId="3D637D51" w14:textId="77777777" w:rsidR="00707721" w:rsidRPr="005D3D65" w:rsidRDefault="00707721" w:rsidP="00707721">
      <w:pPr>
        <w:pStyle w:val="Caption"/>
      </w:pPr>
      <w:bookmarkStart w:id="28" w:name="_Ref204262295"/>
      <w:bookmarkStart w:id="29" w:name="_Toc206078643"/>
      <w:r w:rsidRPr="00DD0422">
        <w:lastRenderedPageBreak/>
        <w:t xml:space="preserve">Figure </w:t>
      </w:r>
      <w:r w:rsidRPr="00DD0422">
        <w:fldChar w:fldCharType="begin"/>
      </w:r>
      <w:r w:rsidRPr="00DD0422">
        <w:instrText xml:space="preserve"> SEQ Figure \* ARABIC </w:instrText>
      </w:r>
      <w:r w:rsidRPr="00DD0422">
        <w:fldChar w:fldCharType="separate"/>
      </w:r>
      <w:r w:rsidRPr="00DD0422">
        <w:t>2</w:t>
      </w:r>
      <w:r w:rsidRPr="00DD0422">
        <w:fldChar w:fldCharType="end"/>
      </w:r>
      <w:bookmarkEnd w:id="28"/>
      <w:r w:rsidRPr="00DD0422">
        <w:t xml:space="preserve"> Overview of review steps</w:t>
      </w:r>
      <w:bookmarkEnd w:id="29"/>
    </w:p>
    <w:p w14:paraId="71C4E1CF" w14:textId="1BB31518" w:rsidR="009E030A" w:rsidRPr="009E030A" w:rsidRDefault="009E030A" w:rsidP="009E030A">
      <w:r>
        <w:rPr>
          <w:noProof/>
        </w:rPr>
        <w:drawing>
          <wp:inline distT="0" distB="0" distL="0" distR="0" wp14:anchorId="403CF8BC" wp14:editId="337B41BF">
            <wp:extent cx="4641850" cy="5657850"/>
            <wp:effectExtent l="0" t="0" r="6350" b="0"/>
            <wp:docPr id="88571147" name="Picture 2" descr="• Conduct an entry meeting with the department to discuss the review’s objective, scope and proposed timelines.&#10;• Request information under section 11 of IGAWLAE Act from the department. The department has at least 14 days to provide required information or documents relevant to the review.&#10;• Desktop analysis is undertaken of the information received from the department. Following this analysis, additional information may be sought from the department.&#10;• Public written submissions are sought through the department’s ‘Have Your Say’ platform. Email and verbal submissions are also welcome. This period may be 3 to 8 weeks.&#10;• Fieldwork is often undertaken across Australia. This may involve meeting with departmental staff or key stakeholders at regional locations to observe and verify the department’s procedures and operations in action.&#10;• Regular meetings are held throughout the review duration with the department to provide an opportunity for all parties to discuss the information provided and seek points of clarification.&#10;• Report drafted for consultation, which includes observations, findings and recommendations.&#10;• Draft report is shared with departmental executives to ensure accuracy of information. Following feedback, the draft is finalised into a review report.&#10;• Conduct an exit meeting with the department to provide an overview of initial review findings and outline the process of release of and response to the report.&#10;• The department’s Secretary provides a formal response to findings and recommendations in the review report.&#10;• The review is finalised including the department’s response and the final report shared with the Minister before being published on the IGAWLAE’s websit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1147" name="Picture 2" descr="• Conduct an entry meeting with the department to discuss the review’s objective, scope and proposed timelines.&#10;• Request information under section 11 of IGAWLAE Act from the department. The department has at least 14 days to provide required information or documents relevant to the review.&#10;• Desktop analysis is undertaken of the information received from the department. Following this analysis, additional information may be sought from the department.&#10;• Public written submissions are sought through the department’s ‘Have Your Say’ platform. Email and verbal submissions are also welcome. This period may be 3 to 8 weeks.&#10;• Fieldwork is often undertaken across Australia. This may involve meeting with departmental staff or key stakeholders at regional locations to observe and verify the department’s procedures and operations in action.&#10;• Regular meetings are held throughout the review duration with the department to provide an opportunity for all parties to discuss the information provided and seek points of clarification.&#10;• Report drafted for consultation, which includes observations, findings and recommendations.&#10;• Draft report is shared with departmental executives to ensure accuracy of information. Following feedback, the draft is finalised into a review report.&#10;• Conduct an exit meeting with the department to provide an overview of initial review findings and outline the process of release of and response to the report.&#10;• The department’s Secretary provides a formal response to findings and recommendations in the review report.&#10;• The review is finalised including the department’s response and the final report shared with the Minister before being published on the IGAWLAE’s website.&#10;">
                      <a:extLst>
                        <a:ext uri="{C183D7F6-B498-43B3-948B-1728B52AA6E4}">
                          <adec:decorative xmlns:adec="http://schemas.microsoft.com/office/drawing/2017/decorative" val="0"/>
                        </a:ext>
                      </a:extLst>
                    </pic:cNvP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6684" t="5472" b="9801"/>
                    <a:stretch>
                      <a:fillRect/>
                    </a:stretch>
                  </pic:blipFill>
                  <pic:spPr bwMode="auto">
                    <a:xfrm>
                      <a:off x="0" y="0"/>
                      <a:ext cx="4659054" cy="5678820"/>
                    </a:xfrm>
                    <a:prstGeom prst="rect">
                      <a:avLst/>
                    </a:prstGeom>
                    <a:noFill/>
                    <a:ln>
                      <a:noFill/>
                    </a:ln>
                    <a:extLst>
                      <a:ext uri="{53640926-AAD7-44D8-BBD7-CCE9431645EC}">
                        <a14:shadowObscured xmlns:a14="http://schemas.microsoft.com/office/drawing/2010/main"/>
                      </a:ext>
                    </a:extLst>
                  </pic:spPr>
                </pic:pic>
              </a:graphicData>
            </a:graphic>
          </wp:inline>
        </w:drawing>
      </w:r>
    </w:p>
    <w:p w14:paraId="06596A06" w14:textId="63132D7C" w:rsidR="005D3D65" w:rsidRPr="005D3D65" w:rsidRDefault="005D3D65" w:rsidP="007B62E9">
      <w:pPr>
        <w:pStyle w:val="Heading3"/>
        <w:numPr>
          <w:ilvl w:val="0"/>
          <w:numId w:val="0"/>
        </w:numPr>
      </w:pPr>
      <w:bookmarkStart w:id="30" w:name="_Toc206400979"/>
      <w:r w:rsidRPr="005D3D65">
        <w:t>Stakeholder engagement</w:t>
      </w:r>
      <w:bookmarkEnd w:id="30"/>
    </w:p>
    <w:p w14:paraId="0C1A4B7A" w14:textId="4D20B997" w:rsidR="001A25E7" w:rsidRDefault="005D3D65" w:rsidP="005D3D65">
      <w:r w:rsidRPr="005D3D65">
        <w:t xml:space="preserve">The </w:t>
      </w:r>
      <w:r w:rsidR="00085743">
        <w:t>I</w:t>
      </w:r>
      <w:r w:rsidRPr="005D3D65">
        <w:t>nspector-</w:t>
      </w:r>
      <w:r w:rsidR="00085743">
        <w:t>G</w:t>
      </w:r>
      <w:r w:rsidRPr="005D3D65">
        <w:t xml:space="preserve">eneral engages throughout the year with people and organisations that have an interest in livestock exports to </w:t>
      </w:r>
      <w:r w:rsidR="00085743" w:rsidRPr="00085743">
        <w:t xml:space="preserve">help </w:t>
      </w:r>
      <w:r w:rsidRPr="00085743">
        <w:t>inform our</w:t>
      </w:r>
      <w:r w:rsidRPr="005D3D65">
        <w:t xml:space="preserve"> work, including reviews. </w:t>
      </w:r>
      <w:r w:rsidR="001A25E7" w:rsidRPr="005D3D65">
        <w:t xml:space="preserve">As part of this activity, the </w:t>
      </w:r>
      <w:r w:rsidR="001A25E7">
        <w:t>I</w:t>
      </w:r>
      <w:r w:rsidR="001A25E7" w:rsidRPr="005D3D65">
        <w:t>nspector-</w:t>
      </w:r>
      <w:r w:rsidR="001A25E7">
        <w:t>G</w:t>
      </w:r>
      <w:r w:rsidR="001A25E7" w:rsidRPr="005D3D65">
        <w:t xml:space="preserve">eneral maintains a stakeholder contact list to </w:t>
      </w:r>
      <w:r w:rsidR="001A25E7" w:rsidRPr="00085743">
        <w:t>help inform</w:t>
      </w:r>
      <w:r w:rsidR="001A25E7" w:rsidRPr="005D3D65">
        <w:t xml:space="preserve"> interested parties of public submission openings, annual work plans and publishing of reports. </w:t>
      </w:r>
      <w:r w:rsidR="001A25E7" w:rsidRPr="00085743">
        <w:t xml:space="preserve">If you would like to be added to the email distribution list, email </w:t>
      </w:r>
      <w:hyperlink r:id="rId28" w:history="1">
        <w:r w:rsidR="001A25E7" w:rsidRPr="00BB035A">
          <w:rPr>
            <w:rStyle w:val="Hyperlink"/>
          </w:rPr>
          <w:t>IGAWLAE@aff.gov.au</w:t>
        </w:r>
      </w:hyperlink>
      <w:r w:rsidR="001A25E7" w:rsidRPr="00085743">
        <w:t>.</w:t>
      </w:r>
    </w:p>
    <w:p w14:paraId="2F451F7A" w14:textId="6C329383" w:rsidR="005D3D65" w:rsidRPr="00F20619" w:rsidRDefault="001A25E7" w:rsidP="005D3D65">
      <w:r w:rsidRPr="001A25E7">
        <w:t>The Inspector</w:t>
      </w:r>
      <w:r>
        <w:t>-General</w:t>
      </w:r>
      <w:r w:rsidRPr="001A25E7">
        <w:t xml:space="preserve"> </w:t>
      </w:r>
      <w:r>
        <w:t xml:space="preserve">also </w:t>
      </w:r>
      <w:r w:rsidRPr="001A25E7">
        <w:t xml:space="preserve">maintains a website with </w:t>
      </w:r>
      <w:r>
        <w:t>the support of the department</w:t>
      </w:r>
      <w:r w:rsidRPr="001A25E7">
        <w:t>. It contains information about the Inspector</w:t>
      </w:r>
      <w:r>
        <w:t>-General’s</w:t>
      </w:r>
      <w:r w:rsidRPr="001A25E7">
        <w:t xml:space="preserve"> functions and powers, </w:t>
      </w:r>
      <w:r>
        <w:t>contact</w:t>
      </w:r>
      <w:r w:rsidRPr="001A25E7">
        <w:t xml:space="preserve"> information for the Office</w:t>
      </w:r>
      <w:r>
        <w:t>, the annual work plan and reports</w:t>
      </w:r>
      <w:r w:rsidRPr="001A25E7">
        <w:t xml:space="preserve"> and </w:t>
      </w:r>
      <w:r>
        <w:t>completed reviews</w:t>
      </w:r>
      <w:r w:rsidRPr="001A25E7">
        <w:t xml:space="preserve">. </w:t>
      </w:r>
      <w:r w:rsidR="003D06F9" w:rsidRPr="005D3D65">
        <w:t>Engagement on our website increased this year to 8,</w:t>
      </w:r>
      <w:r w:rsidR="003D06F9" w:rsidRPr="00F20619">
        <w:t>725 views (up 32%) including active users 2,613 (up 0.5%).</w:t>
      </w:r>
    </w:p>
    <w:p w14:paraId="09D5671C" w14:textId="7C88C7F0" w:rsidR="005D3D65" w:rsidRPr="005D3D65" w:rsidRDefault="005D3D65" w:rsidP="005D3D65">
      <w:r w:rsidRPr="00F20619">
        <w:t xml:space="preserve">On occasion, the </w:t>
      </w:r>
      <w:r w:rsidR="00492017" w:rsidRPr="00F20619">
        <w:t>Inspector-General</w:t>
      </w:r>
      <w:r w:rsidRPr="00F20619">
        <w:t xml:space="preserve"> is invited to talk at international forums or committee meetings. This year the </w:t>
      </w:r>
      <w:r w:rsidR="00492017" w:rsidRPr="00F20619">
        <w:t>Inspector-General</w:t>
      </w:r>
      <w:r w:rsidRPr="00F20619">
        <w:t xml:space="preserve"> attended the annual meetings of the Australian Livestock Export </w:t>
      </w:r>
      <w:r w:rsidRPr="00F20619">
        <w:lastRenderedPageBreak/>
        <w:t>Co</w:t>
      </w:r>
      <w:r w:rsidR="00085743" w:rsidRPr="00F20619">
        <w:t>uncil</w:t>
      </w:r>
      <w:r w:rsidR="00E4490A" w:rsidRPr="00F20619">
        <w:t xml:space="preserve"> and the</w:t>
      </w:r>
      <w:r w:rsidRPr="00F20619">
        <w:t xml:space="preserve"> Northern Territory </w:t>
      </w:r>
      <w:r w:rsidR="00085743" w:rsidRPr="00F20619">
        <w:t>Cattlemen’s</w:t>
      </w:r>
      <w:r w:rsidRPr="00F20619">
        <w:t xml:space="preserve"> Association. The </w:t>
      </w:r>
      <w:r w:rsidR="00944559" w:rsidRPr="00F20619">
        <w:t>I</w:t>
      </w:r>
      <w:r w:rsidRPr="00F20619">
        <w:t>nspector-</w:t>
      </w:r>
      <w:r w:rsidR="00944559" w:rsidRPr="00F20619">
        <w:t>G</w:t>
      </w:r>
      <w:r w:rsidRPr="00F20619">
        <w:t>eneral was also invited to participate in the Regional Workshop</w:t>
      </w:r>
      <w:r w:rsidR="00944559" w:rsidRPr="00F20619">
        <w:t>:</w:t>
      </w:r>
      <w:r w:rsidRPr="00F20619">
        <w:t xml:space="preserve"> </w:t>
      </w:r>
      <w:r w:rsidR="00944559" w:rsidRPr="00F20619">
        <w:t xml:space="preserve">Focal Points for Animal Welfare </w:t>
      </w:r>
      <w:r w:rsidR="00554229" w:rsidRPr="00F20619">
        <w:t>–</w:t>
      </w:r>
      <w:r w:rsidRPr="00F20619">
        <w:t xml:space="preserve"> World Organisation for Animal Health (WOAH) </w:t>
      </w:r>
      <w:r w:rsidR="00554229" w:rsidRPr="00F20619">
        <w:t>–</w:t>
      </w:r>
      <w:r w:rsidR="00944559" w:rsidRPr="00F20619">
        <w:t xml:space="preserve"> </w:t>
      </w:r>
      <w:r w:rsidRPr="00F20619">
        <w:t>Asia 2025.</w:t>
      </w:r>
    </w:p>
    <w:p w14:paraId="5AE16434" w14:textId="54A8E123" w:rsidR="005D3D65" w:rsidRPr="005D3D65" w:rsidRDefault="005D3D65" w:rsidP="005D3D65">
      <w:r w:rsidRPr="005D3D65">
        <w:t xml:space="preserve">During reviews the </w:t>
      </w:r>
      <w:r w:rsidR="00944559">
        <w:t>I</w:t>
      </w:r>
      <w:r w:rsidRPr="005D3D65">
        <w:t>nspector-</w:t>
      </w:r>
      <w:r w:rsidR="00944559">
        <w:t>G</w:t>
      </w:r>
      <w:r w:rsidRPr="005D3D65">
        <w:t>eneral seeks stakeholder views. This is crucial in understanding the complexities of the relationships and processes involved in exporting livestock and provides the opportunity for those either directly involved in the industry, or who have an interest, to provide their perspectives.</w:t>
      </w:r>
    </w:p>
    <w:p w14:paraId="13CE003A" w14:textId="4257DD6E" w:rsidR="005D3D65" w:rsidRPr="005D3D65" w:rsidRDefault="005D3D65" w:rsidP="005D3D65">
      <w:r w:rsidRPr="005D3D65">
        <w:t xml:space="preserve">The </w:t>
      </w:r>
      <w:r w:rsidR="00944559">
        <w:t>I</w:t>
      </w:r>
      <w:r w:rsidRPr="005D3D65">
        <w:t>nspector-</w:t>
      </w:r>
      <w:r w:rsidR="00944559" w:rsidRPr="00944559">
        <w:t>G</w:t>
      </w:r>
      <w:r w:rsidRPr="00944559">
        <w:t>eneral u</w:t>
      </w:r>
      <w:r w:rsidR="00944559" w:rsidRPr="00944559">
        <w:t>ses</w:t>
      </w:r>
      <w:r w:rsidRPr="00944559">
        <w:t xml:space="preserve"> the</w:t>
      </w:r>
      <w:r w:rsidRPr="005D3D65">
        <w:t xml:space="preserve"> department’s</w:t>
      </w:r>
      <w:r w:rsidR="00055345">
        <w:t xml:space="preserve"> </w:t>
      </w:r>
      <w:r w:rsidR="00055345" w:rsidRPr="005D3D65">
        <w:t>‘Have Your Say’</w:t>
      </w:r>
      <w:r w:rsidRPr="005D3D65">
        <w:t xml:space="preserve"> online public submission platform. The submission process typically opens for consultation </w:t>
      </w:r>
      <w:r w:rsidRPr="00944559">
        <w:t>from 3</w:t>
      </w:r>
      <w:r w:rsidR="00944559" w:rsidRPr="00944559">
        <w:t xml:space="preserve"> to </w:t>
      </w:r>
      <w:r w:rsidRPr="00944559">
        <w:t>8 weeks and may take the form of written submissions or, if offered, responses to survey questions</w:t>
      </w:r>
      <w:r w:rsidR="00944559" w:rsidRPr="00944559">
        <w:t>.</w:t>
      </w:r>
      <w:r w:rsidRPr="00944559">
        <w:t xml:space="preserve"> The </w:t>
      </w:r>
      <w:r w:rsidR="00944559">
        <w:t>I</w:t>
      </w:r>
      <w:r w:rsidRPr="00944559">
        <w:t>nspector-</w:t>
      </w:r>
      <w:r w:rsidR="00944559">
        <w:t>G</w:t>
      </w:r>
      <w:r w:rsidRPr="00944559">
        <w:t>eneral also employs less formal methods for gathering information</w:t>
      </w:r>
      <w:r w:rsidR="00944559">
        <w:t>,</w:t>
      </w:r>
      <w:r w:rsidRPr="00944559">
        <w:t xml:space="preserve"> including </w:t>
      </w:r>
      <w:r w:rsidR="00383A43" w:rsidRPr="00944559">
        <w:t>online or in-person</w:t>
      </w:r>
      <w:r w:rsidR="00383A43" w:rsidRPr="005D3D65">
        <w:t xml:space="preserve"> </w:t>
      </w:r>
      <w:r w:rsidRPr="005D3D65">
        <w:t>meetings and direct submissions to the IGAWLAE email</w:t>
      </w:r>
      <w:r w:rsidR="00944559">
        <w:t xml:space="preserve"> inbox</w:t>
      </w:r>
      <w:r w:rsidRPr="005D3D65">
        <w:t>.</w:t>
      </w:r>
    </w:p>
    <w:p w14:paraId="60EB62AC" w14:textId="77777777" w:rsidR="005D3D65" w:rsidRPr="005D3D65" w:rsidRDefault="005D3D65" w:rsidP="005D3D65">
      <w:r w:rsidRPr="005D3D65">
        <w:t>Non-confidential written submissions are published on the IGAWLAE website at the conclusion of the review process.</w:t>
      </w:r>
    </w:p>
    <w:p w14:paraId="464A51F4" w14:textId="6A1D0FE7" w:rsidR="005D3D65" w:rsidRDefault="005D3D65" w:rsidP="005D3D65">
      <w:r w:rsidRPr="005D3D65">
        <w:t xml:space="preserve">We would like to acknowledge the high quality of public submissions and the thoughtful discussions that accompanied them. The insights, lived experiences and constructive ideas shared have significantly contributed to the reviews and current and future work plans. We sincerely thank all </w:t>
      </w:r>
      <w:r w:rsidRPr="00944559">
        <w:t>individual</w:t>
      </w:r>
      <w:r w:rsidR="00944559">
        <w:t>s</w:t>
      </w:r>
      <w:r w:rsidRPr="00944559">
        <w:t>, groups</w:t>
      </w:r>
      <w:r w:rsidRPr="005D3D65">
        <w:t xml:space="preserve"> and organisations that took the time to contribute – your engagement is both valued and vital.</w:t>
      </w:r>
    </w:p>
    <w:p w14:paraId="2C36D60F" w14:textId="77777777" w:rsidR="005D3D65" w:rsidRPr="005D3D65" w:rsidRDefault="005D3D65" w:rsidP="00123995">
      <w:pPr>
        <w:pStyle w:val="Heading3"/>
        <w:numPr>
          <w:ilvl w:val="0"/>
          <w:numId w:val="0"/>
        </w:numPr>
      </w:pPr>
      <w:bookmarkStart w:id="31" w:name="_Toc206400980"/>
      <w:r w:rsidRPr="005D3D65">
        <w:t>Management and accountability</w:t>
      </w:r>
      <w:bookmarkEnd w:id="31"/>
    </w:p>
    <w:p w14:paraId="4EBEBDD0" w14:textId="78183427" w:rsidR="005D3D65" w:rsidRPr="005D3D65" w:rsidRDefault="005D3D65" w:rsidP="005D3D65">
      <w:r w:rsidRPr="00944559">
        <w:t xml:space="preserve">The Inspector-General of Animal Welfare and Live Animal Exports is not a listed entity under </w:t>
      </w:r>
      <w:r w:rsidR="00944559" w:rsidRPr="00944559">
        <w:t>t</w:t>
      </w:r>
      <w:r w:rsidRPr="00944559">
        <w:t xml:space="preserve">he </w:t>
      </w:r>
      <w:r w:rsidRPr="00492017">
        <w:rPr>
          <w:rStyle w:val="Emphasis"/>
        </w:rPr>
        <w:t>Public Governance, Performance and Accountability Act 2013</w:t>
      </w:r>
      <w:r w:rsidRPr="00944559">
        <w:rPr>
          <w:rStyle w:val="Emphasis"/>
        </w:rPr>
        <w:t xml:space="preserve"> </w:t>
      </w:r>
      <w:r w:rsidRPr="00944559">
        <w:t>(PGPA Act). The financial reporting and</w:t>
      </w:r>
      <w:r w:rsidRPr="005D3D65">
        <w:t xml:space="preserve"> other information required under </w:t>
      </w:r>
      <w:r w:rsidRPr="00D13B61">
        <w:t xml:space="preserve">the PGPA Act are reported </w:t>
      </w:r>
      <w:r w:rsidR="00944559" w:rsidRPr="00D13B61">
        <w:t>in</w:t>
      </w:r>
      <w:r w:rsidRPr="00D13B61">
        <w:t xml:space="preserve"> the Department of Agriculture, Fisheries and Forestry’s (DAFF) annual report. Risk management, policies and governance also fall under DAFF frameworks and are the accountability of the </w:t>
      </w:r>
      <w:r w:rsidR="00944559" w:rsidRPr="00D13B61">
        <w:t>s</w:t>
      </w:r>
      <w:r w:rsidRPr="00D13B61">
        <w:t xml:space="preserve">ecretary. The Accountable Authority Instructions (AAIs) are issued by the secretary under </w:t>
      </w:r>
      <w:r w:rsidR="00944559" w:rsidRPr="00D13B61">
        <w:t>s</w:t>
      </w:r>
      <w:r w:rsidRPr="00D13B61">
        <w:t>ection</w:t>
      </w:r>
      <w:r w:rsidRPr="005D3D65">
        <w:t xml:space="preserve"> 20A of the PGPA Act to officials on matters relating to the use of public resources in the delivery of policies, programs and services. The AAIs apply to all officials in DAFF.</w:t>
      </w:r>
    </w:p>
    <w:p w14:paraId="0684AF87" w14:textId="77777777" w:rsidR="005D3D65" w:rsidRPr="005D3D65" w:rsidRDefault="005D3D65" w:rsidP="00123995">
      <w:pPr>
        <w:pStyle w:val="Heading3"/>
        <w:numPr>
          <w:ilvl w:val="0"/>
          <w:numId w:val="0"/>
        </w:numPr>
      </w:pPr>
      <w:bookmarkStart w:id="32" w:name="_Toc206400981"/>
      <w:r w:rsidRPr="005D3D65">
        <w:t>Budget</w:t>
      </w:r>
      <w:bookmarkEnd w:id="32"/>
    </w:p>
    <w:p w14:paraId="2B4E9527" w14:textId="06F27579" w:rsidR="005D3D65" w:rsidRPr="005D3D65" w:rsidRDefault="005D3D65" w:rsidP="005D3D65">
      <w:r w:rsidRPr="00D13B61">
        <w:t>In the 2022</w:t>
      </w:r>
      <w:r w:rsidR="004B71A2">
        <w:t>–</w:t>
      </w:r>
      <w:r w:rsidRPr="00D13B61">
        <w:t>23 Budget $4 million was allocated to the IGAWLAE over 4 years</w:t>
      </w:r>
      <w:r w:rsidR="00D13B61">
        <w:t>,</w:t>
      </w:r>
      <w:r w:rsidRPr="00D13B61">
        <w:t xml:space="preserve"> commencing 2022</w:t>
      </w:r>
      <w:r w:rsidR="00D13B61" w:rsidRPr="00D13B61">
        <w:t>–</w:t>
      </w:r>
      <w:r w:rsidRPr="00D13B61">
        <w:t>23</w:t>
      </w:r>
      <w:r w:rsidR="00D13B61">
        <w:t>.</w:t>
      </w:r>
      <w:r w:rsidRPr="00D13B61">
        <w:t xml:space="preserve"> </w:t>
      </w:r>
      <w:r w:rsidR="00D13B61" w:rsidRPr="00D13B61">
        <w:t>In 2024</w:t>
      </w:r>
      <w:r w:rsidR="004B71A2">
        <w:t>–</w:t>
      </w:r>
      <w:r w:rsidR="00D13B61" w:rsidRPr="00D13B61">
        <w:t>25 expenditure for the IGAWLAE and support team totalled $734,138.</w:t>
      </w:r>
    </w:p>
    <w:p w14:paraId="00BCBB1C" w14:textId="660EF225" w:rsidR="005D3D65" w:rsidRPr="005D3D65" w:rsidRDefault="001A25E7" w:rsidP="00123995">
      <w:pPr>
        <w:pStyle w:val="Heading3"/>
        <w:numPr>
          <w:ilvl w:val="0"/>
          <w:numId w:val="0"/>
        </w:numPr>
      </w:pPr>
      <w:bookmarkStart w:id="33" w:name="_Toc206400982"/>
      <w:r>
        <w:t>Staffing</w:t>
      </w:r>
      <w:bookmarkEnd w:id="33"/>
    </w:p>
    <w:p w14:paraId="6362CEA7" w14:textId="3EEA5886" w:rsidR="005D3D65" w:rsidRPr="005D3D65" w:rsidRDefault="005D3D65" w:rsidP="004F0D96">
      <w:r w:rsidRPr="005D3D65">
        <w:t xml:space="preserve">The </w:t>
      </w:r>
      <w:r w:rsidR="00D13B61">
        <w:t>I</w:t>
      </w:r>
      <w:r w:rsidRPr="005D3D65">
        <w:t>nspector-</w:t>
      </w:r>
      <w:r w:rsidR="00D13B61">
        <w:t>G</w:t>
      </w:r>
      <w:r w:rsidRPr="005D3D65">
        <w:t xml:space="preserve">eneral is a part-time office holder whose remuneration and allowances are set by the independent remuneration tribunal. The </w:t>
      </w:r>
      <w:r w:rsidR="00D13B61">
        <w:t>I</w:t>
      </w:r>
      <w:r w:rsidRPr="005D3D65">
        <w:t>nspector-</w:t>
      </w:r>
      <w:r w:rsidR="00D13B61">
        <w:t>G</w:t>
      </w:r>
      <w:r w:rsidRPr="005D3D65">
        <w:t>eneral’s daily fee is capped at 120 days per year under section 2</w:t>
      </w:r>
      <w:r w:rsidR="004F0D96">
        <w:t>2</w:t>
      </w:r>
      <w:r w:rsidRPr="005D3D65">
        <w:t xml:space="preserve"> of the </w:t>
      </w:r>
      <w:r w:rsidR="004F0D96">
        <w:t>Remuneration Tribunal (Remuneration and Allowances for Holders of Part-time Public Office) Determination 2025</w:t>
      </w:r>
      <w:r w:rsidRPr="005D3D65">
        <w:t xml:space="preserve">. </w:t>
      </w:r>
      <w:r w:rsidR="00933164">
        <w:t xml:space="preserve">There are 4 office staff. </w:t>
      </w:r>
      <w:r w:rsidRPr="005D3D65">
        <w:t xml:space="preserve">All non-SES staff available to provide support for the IGAWLAE are provided by the department and employed under the </w:t>
      </w:r>
      <w:r w:rsidRPr="00492017">
        <w:rPr>
          <w:rStyle w:val="Emphasis"/>
        </w:rPr>
        <w:t>Public Service Act 1999</w:t>
      </w:r>
      <w:r w:rsidRPr="005D3D65">
        <w:t>.</w:t>
      </w:r>
    </w:p>
    <w:p w14:paraId="0E83CC16" w14:textId="2F995CEC" w:rsidR="00764D6A" w:rsidRDefault="00E91D72" w:rsidP="007E39EF">
      <w:pPr>
        <w:pStyle w:val="Heading2"/>
        <w:numPr>
          <w:ilvl w:val="0"/>
          <w:numId w:val="0"/>
        </w:numPr>
      </w:pPr>
      <w:bookmarkStart w:id="34" w:name="_Appendix_A:_Statistical"/>
      <w:bookmarkStart w:id="35" w:name="_Toc430782160"/>
      <w:bookmarkStart w:id="36" w:name="_Toc206400983"/>
      <w:bookmarkEnd w:id="34"/>
      <w:r>
        <w:lastRenderedPageBreak/>
        <w:t xml:space="preserve">Appendix A: </w:t>
      </w:r>
      <w:bookmarkEnd w:id="35"/>
      <w:r w:rsidR="004058CB">
        <w:t>B</w:t>
      </w:r>
      <w:r w:rsidR="00295114">
        <w:t xml:space="preserve">rief </w:t>
      </w:r>
      <w:r w:rsidR="00295114" w:rsidRPr="004058CB">
        <w:t>history</w:t>
      </w:r>
      <w:r w:rsidR="004058CB" w:rsidRPr="004058CB">
        <w:t xml:space="preserve"> </w:t>
      </w:r>
      <w:r w:rsidR="004058CB" w:rsidRPr="00DD0422">
        <w:t xml:space="preserve">of </w:t>
      </w:r>
      <w:r w:rsidR="00D361B6" w:rsidRPr="00DD0422">
        <w:t>i</w:t>
      </w:r>
      <w:r w:rsidR="004058CB" w:rsidRPr="00DD0422">
        <w:t>nspectors-</w:t>
      </w:r>
      <w:r w:rsidR="00D361B6" w:rsidRPr="00DD0422">
        <w:t>g</w:t>
      </w:r>
      <w:r w:rsidR="004058CB" w:rsidRPr="00DD0422">
        <w:t>eneral</w:t>
      </w:r>
      <w:bookmarkEnd w:id="36"/>
    </w:p>
    <w:p w14:paraId="11DE3955" w14:textId="2C1C03AD" w:rsidR="00396FC7" w:rsidRDefault="00295114" w:rsidP="00295114">
      <w:r w:rsidRPr="004058CB">
        <w:t xml:space="preserve">The death of 2,400 sheep onboard a livestock export ship travelling to the </w:t>
      </w:r>
      <w:r w:rsidR="004058CB" w:rsidRPr="004058CB">
        <w:t>M</w:t>
      </w:r>
      <w:r w:rsidRPr="004058CB">
        <w:t xml:space="preserve">iddle </w:t>
      </w:r>
      <w:r w:rsidR="004058CB" w:rsidRPr="004058CB">
        <w:t>E</w:t>
      </w:r>
      <w:r w:rsidRPr="004058CB">
        <w:t xml:space="preserve">ast in 2017 led to the </w:t>
      </w:r>
      <w:r w:rsidRPr="004058CB">
        <w:rPr>
          <w:i/>
          <w:iCs/>
        </w:rPr>
        <w:t>Review of the Regulatory Capability and Culture of the Department of Agriculture and Water Resources in the Regulation of Live Animal Exports</w:t>
      </w:r>
      <w:r w:rsidRPr="004058CB">
        <w:t>.</w:t>
      </w:r>
      <w:r w:rsidR="00396FC7" w:rsidRPr="004058CB">
        <w:t xml:space="preserve"> </w:t>
      </w:r>
      <w:r w:rsidR="004058CB">
        <w:t xml:space="preserve">This review initiated the establishment of the </w:t>
      </w:r>
      <w:r w:rsidR="004058CB" w:rsidRPr="00D361B6">
        <w:t>Inspector-General</w:t>
      </w:r>
      <w:r w:rsidR="00D361B6" w:rsidRPr="00D361B6">
        <w:t xml:space="preserve"> of Live Animal Exports</w:t>
      </w:r>
      <w:r w:rsidR="00396FC7" w:rsidRPr="00D361B6">
        <w:t>:</w:t>
      </w:r>
    </w:p>
    <w:p w14:paraId="59C52219" w14:textId="2B6DED45" w:rsidR="00295114" w:rsidRPr="00295114" w:rsidRDefault="00295114" w:rsidP="00492017">
      <w:pPr>
        <w:pStyle w:val="Quote"/>
      </w:pPr>
      <w:r w:rsidRPr="00492017">
        <w:rPr>
          <w:rStyle w:val="QuoteChar"/>
        </w:rPr>
        <w:t>Several submissions to the review suggested that a statutory authority should perform the role of regulator of live animal exports. The approach taken by the review was to recommend improvements to the current regulatory framework and the Department of Agriculture and Water Resource’s regulatory practice. These measures include the establishment of an Inspector-General of Live Animal Exports to provide independent oversight of the department’s regulatory performance</w:t>
      </w:r>
      <w:r w:rsidR="00396FC7">
        <w:rPr>
          <w:rStyle w:val="QuoteChar"/>
        </w:rPr>
        <w:t>.</w:t>
      </w:r>
      <w:r w:rsidRPr="00492017">
        <w:rPr>
          <w:rStyle w:val="QuoteChar"/>
        </w:rPr>
        <w:t xml:space="preserve"> (</w:t>
      </w:r>
      <w:hyperlink r:id="rId29" w:history="1">
        <w:r w:rsidRPr="00492017">
          <w:rPr>
            <w:rStyle w:val="Hyperlink"/>
          </w:rPr>
          <w:t>Moss 2018</w:t>
        </w:r>
      </w:hyperlink>
      <w:r w:rsidRPr="00492017">
        <w:rPr>
          <w:rStyle w:val="QuoteChar"/>
        </w:rPr>
        <w:t>).</w:t>
      </w:r>
    </w:p>
    <w:p w14:paraId="7AB9EEDF" w14:textId="38FD19CC" w:rsidR="00295114" w:rsidRPr="00295114" w:rsidRDefault="00295114" w:rsidP="00295114">
      <w:r w:rsidRPr="00295114">
        <w:t xml:space="preserve">In March 2019 Ross Carter commenced as Interim Inspector-General of Live Animal Exports. Following royal assent of the </w:t>
      </w:r>
      <w:r w:rsidRPr="00295114">
        <w:rPr>
          <w:rStyle w:val="Emphasis"/>
        </w:rPr>
        <w:t>Inspector-General of Live Animal Exports Act 2019</w:t>
      </w:r>
      <w:r w:rsidRPr="00295114">
        <w:t xml:space="preserve">, </w:t>
      </w:r>
      <w:r w:rsidR="00396FC7">
        <w:t>he</w:t>
      </w:r>
      <w:r w:rsidRPr="00295114">
        <w:t xml:space="preserve"> </w:t>
      </w:r>
      <w:r w:rsidR="00396FC7">
        <w:t>served</w:t>
      </w:r>
      <w:r w:rsidRPr="00295114">
        <w:t xml:space="preserve"> as the IGLAE</w:t>
      </w:r>
      <w:r w:rsidR="00396FC7">
        <w:t xml:space="preserve"> until his</w:t>
      </w:r>
      <w:r w:rsidRPr="00295114">
        <w:t xml:space="preserve"> tenure ended in April 2023. During that period 6 reviews were completed.</w:t>
      </w:r>
    </w:p>
    <w:p w14:paraId="4A0DE064" w14:textId="5C67FD09" w:rsidR="00295114" w:rsidRPr="00295114" w:rsidRDefault="00295114" w:rsidP="00295114">
      <w:r w:rsidRPr="00295114">
        <w:t xml:space="preserve">In 2023 the Australian </w:t>
      </w:r>
      <w:r w:rsidRPr="004058CB">
        <w:t>Government committed to expand</w:t>
      </w:r>
      <w:r w:rsidR="004058CB" w:rsidRPr="004058CB">
        <w:t>ing</w:t>
      </w:r>
      <w:r w:rsidRPr="00295114">
        <w:t xml:space="preserve"> the office of the </w:t>
      </w:r>
      <w:r w:rsidR="004058CB">
        <w:t>I</w:t>
      </w:r>
      <w:r w:rsidRPr="00295114">
        <w:t>nspector-</w:t>
      </w:r>
      <w:r w:rsidR="004058CB">
        <w:t>G</w:t>
      </w:r>
      <w:r w:rsidRPr="00295114">
        <w:t xml:space="preserve">eneral of Live Animal Exports to include </w:t>
      </w:r>
      <w:r w:rsidRPr="00BB24B1">
        <w:t>animal welfare</w:t>
      </w:r>
      <w:r w:rsidR="00BB24B1" w:rsidRPr="00BB24B1">
        <w:t>–</w:t>
      </w:r>
      <w:r w:rsidRPr="00BB24B1">
        <w:t>related</w:t>
      </w:r>
      <w:r w:rsidRPr="00295114">
        <w:t xml:space="preserve"> objectives and functions. Public consultation was open on the </w:t>
      </w:r>
      <w:r w:rsidR="00F72FD7">
        <w:t>DAFF</w:t>
      </w:r>
      <w:r w:rsidRPr="00295114">
        <w:t xml:space="preserve"> website between 2 </w:t>
      </w:r>
      <w:r w:rsidRPr="004058CB">
        <w:t>February 2023 and 9 March 2023. Feedback was sought on additional animal welfare</w:t>
      </w:r>
      <w:r w:rsidR="00747045" w:rsidRPr="004058CB">
        <w:t>–</w:t>
      </w:r>
      <w:r w:rsidRPr="004058CB">
        <w:t>related objectives, functions and expertise that could form</w:t>
      </w:r>
      <w:r w:rsidR="004058CB" w:rsidRPr="004058CB">
        <w:t xml:space="preserve"> part of</w:t>
      </w:r>
      <w:r w:rsidRPr="004058CB">
        <w:t xml:space="preserve"> the n</w:t>
      </w:r>
      <w:r w:rsidRPr="00295114">
        <w:t xml:space="preserve">ew </w:t>
      </w:r>
      <w:r w:rsidRPr="004058CB">
        <w:t>role. A total of 24 submissions were received from industry groups, animal welfare organisations and</w:t>
      </w:r>
      <w:r w:rsidRPr="00295114">
        <w:t xml:space="preserve"> other interested parties.</w:t>
      </w:r>
    </w:p>
    <w:p w14:paraId="11662E14" w14:textId="1A26787C" w:rsidR="00295114" w:rsidRPr="00295114" w:rsidRDefault="00295114" w:rsidP="00295114">
      <w:r w:rsidRPr="00295114">
        <w:t xml:space="preserve">Dr Michael Bond was appointed acting IGLAE in August 2023. The </w:t>
      </w:r>
      <w:r w:rsidRPr="00492017">
        <w:rPr>
          <w:rStyle w:val="Emphasis"/>
        </w:rPr>
        <w:t>Inspector-General of Live Animal Exports Amendment (Animal Welfare) Act 2019</w:t>
      </w:r>
      <w:r w:rsidRPr="00295114">
        <w:t xml:space="preserve"> received royal assent on 4 December 2023</w:t>
      </w:r>
      <w:r w:rsidR="00423E95">
        <w:t>,</w:t>
      </w:r>
      <w:r w:rsidRPr="00295114">
        <w:t xml:space="preserve"> expanding the responsibilities of the </w:t>
      </w:r>
      <w:r w:rsidR="00423E95">
        <w:t>I</w:t>
      </w:r>
      <w:r w:rsidRPr="00295114">
        <w:t>nspector-</w:t>
      </w:r>
      <w:r w:rsidR="00423E95">
        <w:t>G</w:t>
      </w:r>
      <w:r w:rsidRPr="00295114">
        <w:t>eneral role.</w:t>
      </w:r>
    </w:p>
    <w:p w14:paraId="18026F43" w14:textId="77777777" w:rsidR="00295114" w:rsidRPr="00423E95" w:rsidRDefault="00295114" w:rsidP="00295114">
      <w:r w:rsidRPr="00295114">
        <w:t>Dr Bond then became the acting Inspector-General of Animal Welfare and Live Animal Exports (</w:t>
      </w:r>
      <w:r w:rsidRPr="00423E95">
        <w:t>IGAWLAE). Dr Bond ended his tenure in August 2023 after completing 2 reviews.</w:t>
      </w:r>
    </w:p>
    <w:p w14:paraId="68B9ECC3" w14:textId="0CBC809F" w:rsidR="00295114" w:rsidRDefault="00295114">
      <w:r w:rsidRPr="00F20619">
        <w:t xml:space="preserve">In September 2024, Dr Katherine Clift was appointed IGAWLAE for 5 years. Dr Clift published the  </w:t>
      </w:r>
      <w:hyperlink r:id="rId30" w:history="1">
        <w:r w:rsidR="00F20619" w:rsidRPr="00F20619">
          <w:rPr>
            <w:rStyle w:val="Hyperlink"/>
          </w:rPr>
          <w:t>IGAWLAE work plan 2024–25</w:t>
        </w:r>
      </w:hyperlink>
      <w:r w:rsidR="00F20619" w:rsidRPr="00F20619">
        <w:t>.</w:t>
      </w:r>
      <w:r w:rsidR="00F20619">
        <w:t xml:space="preserve">  </w:t>
      </w:r>
      <w:r w:rsidRPr="00F20619">
        <w:t>in January 2025.</w:t>
      </w:r>
    </w:p>
    <w:p w14:paraId="7603E209" w14:textId="77777777" w:rsidR="00295114" w:rsidRDefault="00295114">
      <w:pPr>
        <w:sectPr w:rsidR="00295114">
          <w:pgSz w:w="11906" w:h="16838"/>
          <w:pgMar w:top="1418" w:right="1418" w:bottom="1418" w:left="1418" w:header="567" w:footer="283" w:gutter="0"/>
          <w:pgNumType w:start="1"/>
          <w:cols w:space="708"/>
          <w:docGrid w:linePitch="360"/>
        </w:sectPr>
      </w:pPr>
    </w:p>
    <w:p w14:paraId="0E035774" w14:textId="09AAFDDB" w:rsidR="00764D6A" w:rsidRPr="00F20619" w:rsidRDefault="00E91D72" w:rsidP="007E39EF">
      <w:pPr>
        <w:pStyle w:val="Heading2"/>
        <w:numPr>
          <w:ilvl w:val="0"/>
          <w:numId w:val="0"/>
        </w:numPr>
        <w:ind w:left="720" w:hanging="720"/>
      </w:pPr>
      <w:bookmarkStart w:id="37" w:name="_Appendix_B:_Recommendation"/>
      <w:bookmarkStart w:id="38" w:name="_Toc206400984"/>
      <w:bookmarkEnd w:id="37"/>
      <w:r w:rsidRPr="00625AEF">
        <w:lastRenderedPageBreak/>
        <w:t xml:space="preserve">Appendix B: </w:t>
      </w:r>
      <w:r w:rsidR="005C4980">
        <w:t xml:space="preserve">Status of </w:t>
      </w:r>
      <w:r w:rsidR="005C4980" w:rsidRPr="00F20619">
        <w:t>recommendations</w:t>
      </w:r>
      <w:bookmarkEnd w:id="38"/>
    </w:p>
    <w:p w14:paraId="2242DF91" w14:textId="76134DCA" w:rsidR="00A76EE7" w:rsidRPr="00F20619" w:rsidRDefault="00A76EE7" w:rsidP="00A76EE7">
      <w:r w:rsidRPr="00F20619">
        <w:t xml:space="preserve">The department is addressing 48 recommendations from 8 reviews conducted by the </w:t>
      </w:r>
      <w:r w:rsidR="00423E95" w:rsidRPr="00F20619">
        <w:t>I</w:t>
      </w:r>
      <w:r w:rsidRPr="00F20619">
        <w:t>nspector-</w:t>
      </w:r>
      <w:r w:rsidR="00423E95" w:rsidRPr="00F20619">
        <w:t>G</w:t>
      </w:r>
      <w:r w:rsidRPr="00F20619">
        <w:t xml:space="preserve">eneral </w:t>
      </w:r>
      <w:r w:rsidR="00423E95" w:rsidRPr="00F20619">
        <w:t>from</w:t>
      </w:r>
      <w:r w:rsidRPr="00F20619">
        <w:t xml:space="preserve"> March 2020 to August 2024.Thirteen of the recommendations have been closed</w:t>
      </w:r>
      <w:r w:rsidR="00625AEF" w:rsidRPr="00F20619">
        <w:t xml:space="preserve"> and</w:t>
      </w:r>
      <w:r w:rsidRPr="00F20619">
        <w:t xml:space="preserve"> 35 remain open. </w:t>
      </w:r>
      <w:r w:rsidR="00B2134D" w:rsidRPr="00F20619">
        <w:fldChar w:fldCharType="begin"/>
      </w:r>
      <w:r w:rsidR="00B2134D" w:rsidRPr="00F20619">
        <w:instrText xml:space="preserve"> REF _Ref205992904 \h  \* MERGEFORMAT </w:instrText>
      </w:r>
      <w:r w:rsidR="00B2134D" w:rsidRPr="00F20619">
        <w:fldChar w:fldCharType="separate"/>
      </w:r>
      <w:r w:rsidR="00B2134D" w:rsidRPr="00F20619">
        <w:t>Table B</w:t>
      </w:r>
      <w:r w:rsidR="00B2134D" w:rsidRPr="00F20619">
        <w:rPr>
          <w:noProof/>
        </w:rPr>
        <w:t>1</w:t>
      </w:r>
      <w:r w:rsidR="00B2134D" w:rsidRPr="00F20619">
        <w:fldChar w:fldCharType="end"/>
      </w:r>
      <w:r w:rsidR="00625AEF" w:rsidRPr="00F20619">
        <w:t xml:space="preserve"> summarises the status of recommendations for these reviews.</w:t>
      </w:r>
      <w:r w:rsidR="00272BCA" w:rsidRPr="00F20619">
        <w:t xml:space="preserve"> Closed means recommendations are implemented. Open means they are still in progress.</w:t>
      </w:r>
    </w:p>
    <w:p w14:paraId="313EAB13" w14:textId="507AF54A" w:rsidR="00764D6A" w:rsidRDefault="00B2134D" w:rsidP="00B2134D">
      <w:pPr>
        <w:pStyle w:val="Caption"/>
      </w:pPr>
      <w:bookmarkStart w:id="39" w:name="_Ref205992904"/>
      <w:bookmarkStart w:id="40" w:name="_Toc206078596"/>
      <w:r w:rsidRPr="00F20619">
        <w:t>Table B</w:t>
      </w:r>
      <w:r w:rsidRPr="00F20619">
        <w:fldChar w:fldCharType="begin"/>
      </w:r>
      <w:r w:rsidRPr="00F20619">
        <w:instrText xml:space="preserve"> SEQ Table_B \* ARABIC </w:instrText>
      </w:r>
      <w:r w:rsidRPr="00F20619">
        <w:fldChar w:fldCharType="separate"/>
      </w:r>
      <w:r w:rsidRPr="00F20619">
        <w:rPr>
          <w:noProof/>
        </w:rPr>
        <w:t>1</w:t>
      </w:r>
      <w:r w:rsidRPr="00F20619">
        <w:fldChar w:fldCharType="end"/>
      </w:r>
      <w:bookmarkEnd w:id="39"/>
      <w:r w:rsidR="00E91D72" w:rsidRPr="00F20619">
        <w:t xml:space="preserve"> </w:t>
      </w:r>
      <w:r w:rsidR="00295114" w:rsidRPr="00F20619">
        <w:t xml:space="preserve">Overview of </w:t>
      </w:r>
      <w:r w:rsidR="00717C35" w:rsidRPr="00F20619">
        <w:t>i</w:t>
      </w:r>
      <w:r w:rsidR="00295114" w:rsidRPr="00F20619">
        <w:t>nspector</w:t>
      </w:r>
      <w:r w:rsidR="00385B74" w:rsidRPr="00F20619">
        <w:t>s</w:t>
      </w:r>
      <w:r w:rsidR="00295114" w:rsidRPr="00F20619">
        <w:t>-</w:t>
      </w:r>
      <w:r w:rsidR="00717C35" w:rsidRPr="00F20619">
        <w:t>g</w:t>
      </w:r>
      <w:r w:rsidR="00295114" w:rsidRPr="00F20619">
        <w:t>eneral reviews and recommendation status</w:t>
      </w:r>
      <w:bookmarkEnd w:id="40"/>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6804"/>
        <w:gridCol w:w="1823"/>
        <w:gridCol w:w="1580"/>
        <w:gridCol w:w="1417"/>
        <w:gridCol w:w="1143"/>
        <w:gridCol w:w="1235"/>
      </w:tblGrid>
      <w:tr w:rsidR="00295E47" w:rsidRPr="00272BCA" w14:paraId="18F73460" w14:textId="77777777" w:rsidTr="00B2134D">
        <w:trPr>
          <w:cantSplit/>
          <w:tblHeader/>
        </w:trPr>
        <w:tc>
          <w:tcPr>
            <w:tcW w:w="2430" w:type="pct"/>
            <w:tcMar>
              <w:left w:w="108" w:type="dxa"/>
              <w:right w:w="108" w:type="dxa"/>
            </w:tcMar>
          </w:tcPr>
          <w:p w14:paraId="5BAFB314" w14:textId="463051FD" w:rsidR="00100B03" w:rsidRPr="00F20619" w:rsidRDefault="00100B03" w:rsidP="00100B03">
            <w:pPr>
              <w:pStyle w:val="TableHeading"/>
            </w:pPr>
            <w:bookmarkStart w:id="41" w:name="Title_B1"/>
            <w:bookmarkStart w:id="42" w:name="_Hlk204776511"/>
            <w:bookmarkEnd w:id="41"/>
            <w:r w:rsidRPr="00F20619">
              <w:rPr>
                <w:lang w:eastAsia="ja-JP"/>
              </w:rPr>
              <w:t>I</w:t>
            </w:r>
            <w:r w:rsidR="00860634" w:rsidRPr="00F20619">
              <w:rPr>
                <w:lang w:eastAsia="ja-JP"/>
              </w:rPr>
              <w:t>nspectors-</w:t>
            </w:r>
            <w:r w:rsidR="00385B74" w:rsidRPr="00F20619">
              <w:rPr>
                <w:lang w:eastAsia="ja-JP"/>
              </w:rPr>
              <w:t>g</w:t>
            </w:r>
            <w:r w:rsidR="00860634" w:rsidRPr="00F20619">
              <w:rPr>
                <w:lang w:eastAsia="ja-JP"/>
              </w:rPr>
              <w:t>eneral</w:t>
            </w:r>
            <w:r w:rsidRPr="00F20619">
              <w:rPr>
                <w:lang w:eastAsia="ja-JP"/>
              </w:rPr>
              <w:t xml:space="preserve"> </w:t>
            </w:r>
            <w:bookmarkEnd w:id="42"/>
            <w:r w:rsidRPr="00F20619">
              <w:rPr>
                <w:lang w:eastAsia="ja-JP"/>
              </w:rPr>
              <w:t>review</w:t>
            </w:r>
            <w:r w:rsidR="00122945" w:rsidRPr="00F20619">
              <w:rPr>
                <w:lang w:eastAsia="ja-JP"/>
              </w:rPr>
              <w:t>s</w:t>
            </w:r>
          </w:p>
        </w:tc>
        <w:tc>
          <w:tcPr>
            <w:tcW w:w="651" w:type="pct"/>
            <w:tcMar>
              <w:left w:w="108" w:type="dxa"/>
              <w:right w:w="108" w:type="dxa"/>
            </w:tcMar>
          </w:tcPr>
          <w:p w14:paraId="7E75FD19" w14:textId="1DC0BA21" w:rsidR="00100B03" w:rsidRPr="0042182F" w:rsidRDefault="00100B03" w:rsidP="001A25E7">
            <w:pPr>
              <w:pStyle w:val="TableHeading"/>
            </w:pPr>
            <w:r w:rsidRPr="0042182F">
              <w:t>Published</w:t>
            </w:r>
          </w:p>
        </w:tc>
        <w:tc>
          <w:tcPr>
            <w:tcW w:w="564" w:type="pct"/>
            <w:tcMar>
              <w:left w:w="108" w:type="dxa"/>
              <w:right w:w="108" w:type="dxa"/>
            </w:tcMar>
          </w:tcPr>
          <w:p w14:paraId="0F7BAB6F" w14:textId="4180EB58" w:rsidR="00100B03" w:rsidRPr="0042182F" w:rsidRDefault="00685894" w:rsidP="001A25E7">
            <w:pPr>
              <w:pStyle w:val="TableHeading"/>
            </w:pPr>
            <w:r w:rsidRPr="001A25E7">
              <w:rPr>
                <w:lang w:eastAsia="ja-JP"/>
              </w:rPr>
              <w:t>I</w:t>
            </w:r>
            <w:r w:rsidR="00272BCA">
              <w:rPr>
                <w:lang w:eastAsia="ja-JP"/>
              </w:rPr>
              <w:t xml:space="preserve">nspector-General </w:t>
            </w:r>
            <w:r w:rsidRPr="0042182F">
              <w:rPr>
                <w:lang w:eastAsia="ja-JP"/>
              </w:rPr>
              <w:t>r</w:t>
            </w:r>
            <w:r w:rsidR="00100B03" w:rsidRPr="0042182F">
              <w:t>ecommendations</w:t>
            </w:r>
          </w:p>
        </w:tc>
        <w:tc>
          <w:tcPr>
            <w:tcW w:w="506" w:type="pct"/>
            <w:tcMar>
              <w:left w:w="108" w:type="dxa"/>
              <w:right w:w="108" w:type="dxa"/>
            </w:tcMar>
          </w:tcPr>
          <w:p w14:paraId="166C84D6" w14:textId="12EB0B73" w:rsidR="00100B03" w:rsidRPr="0042182F" w:rsidRDefault="00100B03" w:rsidP="00100B03">
            <w:pPr>
              <w:pStyle w:val="TableHeading"/>
              <w:jc w:val="right"/>
            </w:pPr>
            <w:r w:rsidRPr="0042182F">
              <w:t xml:space="preserve">Agreed by department </w:t>
            </w:r>
            <w:r w:rsidR="0042182F" w:rsidRPr="001A25E7">
              <w:rPr>
                <w:vertAlign w:val="superscript"/>
              </w:rPr>
              <w:t>a</w:t>
            </w:r>
          </w:p>
        </w:tc>
        <w:tc>
          <w:tcPr>
            <w:tcW w:w="408" w:type="pct"/>
            <w:tcMar>
              <w:left w:w="108" w:type="dxa"/>
              <w:right w:w="108" w:type="dxa"/>
            </w:tcMar>
          </w:tcPr>
          <w:p w14:paraId="5C30D278" w14:textId="298989F3" w:rsidR="00100B03" w:rsidRPr="00272BCA" w:rsidRDefault="00100B03" w:rsidP="006B079C">
            <w:pPr>
              <w:pStyle w:val="TableHeading"/>
              <w:jc w:val="right"/>
            </w:pPr>
            <w:r w:rsidRPr="00272BCA">
              <w:t>Closed</w:t>
            </w:r>
          </w:p>
        </w:tc>
        <w:tc>
          <w:tcPr>
            <w:tcW w:w="441" w:type="pct"/>
            <w:tcMar>
              <w:left w:w="108" w:type="dxa"/>
              <w:right w:w="108" w:type="dxa"/>
            </w:tcMar>
          </w:tcPr>
          <w:p w14:paraId="58071F6E" w14:textId="030D1E6B" w:rsidR="00100B03" w:rsidRPr="00272BCA" w:rsidRDefault="00100B03" w:rsidP="006B079C">
            <w:pPr>
              <w:pStyle w:val="TableHeading"/>
              <w:jc w:val="right"/>
            </w:pPr>
            <w:r w:rsidRPr="00272BCA">
              <w:t>Open</w:t>
            </w:r>
          </w:p>
        </w:tc>
      </w:tr>
      <w:tr w:rsidR="00295E47" w:rsidRPr="009A501D" w14:paraId="51034C5C" w14:textId="77777777" w:rsidTr="00B2134D">
        <w:tc>
          <w:tcPr>
            <w:tcW w:w="2430" w:type="pct"/>
            <w:tcMar>
              <w:left w:w="108" w:type="dxa"/>
              <w:right w:w="108" w:type="dxa"/>
            </w:tcMar>
          </w:tcPr>
          <w:p w14:paraId="3B5C90C5" w14:textId="7298FF4E" w:rsidR="006B079C" w:rsidRPr="00F20619" w:rsidRDefault="006B079C" w:rsidP="001A25E7">
            <w:pPr>
              <w:pStyle w:val="TableListNumber"/>
              <w:rPr>
                <w:rStyle w:val="Emphasis"/>
              </w:rPr>
            </w:pPr>
            <w:r w:rsidRPr="00F20619">
              <w:rPr>
                <w:rStyle w:val="Emphasis"/>
              </w:rPr>
              <w:t>Report on Monitoring and Reporting During Livestock Export Voyages</w:t>
            </w:r>
          </w:p>
        </w:tc>
        <w:tc>
          <w:tcPr>
            <w:tcW w:w="651" w:type="pct"/>
            <w:tcMar>
              <w:left w:w="108" w:type="dxa"/>
              <w:right w:w="108" w:type="dxa"/>
            </w:tcMar>
          </w:tcPr>
          <w:p w14:paraId="692AA151" w14:textId="73808C33" w:rsidR="006B079C" w:rsidRPr="009A501D" w:rsidRDefault="006B079C" w:rsidP="001A25E7">
            <w:pPr>
              <w:pStyle w:val="TableText"/>
            </w:pPr>
            <w:r w:rsidRPr="008B6317">
              <w:t>2 Mar</w:t>
            </w:r>
            <w:r>
              <w:t>ch</w:t>
            </w:r>
            <w:r w:rsidRPr="008B6317">
              <w:t xml:space="preserve"> 2020</w:t>
            </w:r>
          </w:p>
        </w:tc>
        <w:tc>
          <w:tcPr>
            <w:tcW w:w="564" w:type="pct"/>
            <w:tcMar>
              <w:left w:w="108" w:type="dxa"/>
              <w:right w:w="108" w:type="dxa"/>
            </w:tcMar>
          </w:tcPr>
          <w:p w14:paraId="237B92C5" w14:textId="33DAF3DC" w:rsidR="006B079C" w:rsidRPr="009A501D" w:rsidRDefault="006B079C" w:rsidP="006B079C">
            <w:pPr>
              <w:pStyle w:val="TableText"/>
              <w:jc w:val="right"/>
            </w:pPr>
            <w:r w:rsidRPr="00AB6163">
              <w:t>12</w:t>
            </w:r>
          </w:p>
        </w:tc>
        <w:tc>
          <w:tcPr>
            <w:tcW w:w="506" w:type="pct"/>
            <w:tcMar>
              <w:left w:w="108" w:type="dxa"/>
              <w:right w:w="108" w:type="dxa"/>
            </w:tcMar>
          </w:tcPr>
          <w:p w14:paraId="56BA4A16" w14:textId="14C185A6" w:rsidR="006B079C" w:rsidRPr="009A501D" w:rsidRDefault="006B079C" w:rsidP="006B079C">
            <w:pPr>
              <w:pStyle w:val="TableText"/>
              <w:jc w:val="right"/>
            </w:pPr>
            <w:r w:rsidRPr="00AB6163">
              <w:t>12</w:t>
            </w:r>
          </w:p>
        </w:tc>
        <w:tc>
          <w:tcPr>
            <w:tcW w:w="408" w:type="pct"/>
            <w:tcMar>
              <w:left w:w="108" w:type="dxa"/>
              <w:right w:w="108" w:type="dxa"/>
            </w:tcMar>
          </w:tcPr>
          <w:p w14:paraId="43B90283" w14:textId="37B1A89D" w:rsidR="006B079C" w:rsidRPr="009A501D" w:rsidRDefault="006B079C" w:rsidP="006B079C">
            <w:pPr>
              <w:pStyle w:val="TableText"/>
              <w:jc w:val="right"/>
            </w:pPr>
            <w:r w:rsidRPr="0046026D">
              <w:rPr>
                <w:lang w:eastAsia="ja-JP"/>
              </w:rPr>
              <w:t>7</w:t>
            </w:r>
          </w:p>
        </w:tc>
        <w:tc>
          <w:tcPr>
            <w:tcW w:w="441" w:type="pct"/>
            <w:tcMar>
              <w:left w:w="108" w:type="dxa"/>
              <w:right w:w="108" w:type="dxa"/>
            </w:tcMar>
          </w:tcPr>
          <w:p w14:paraId="2BA2313C" w14:textId="1A85FB67" w:rsidR="006B079C" w:rsidRPr="009A501D" w:rsidRDefault="006B079C" w:rsidP="006B079C">
            <w:pPr>
              <w:pStyle w:val="TableText"/>
              <w:jc w:val="right"/>
            </w:pPr>
            <w:r w:rsidRPr="0046026D">
              <w:rPr>
                <w:lang w:eastAsia="ja-JP"/>
              </w:rPr>
              <w:t>5</w:t>
            </w:r>
          </w:p>
        </w:tc>
      </w:tr>
      <w:tr w:rsidR="00295E47" w:rsidRPr="009A501D" w14:paraId="42E64A8D" w14:textId="77777777" w:rsidTr="00B2134D">
        <w:tc>
          <w:tcPr>
            <w:tcW w:w="2430" w:type="pct"/>
            <w:tcMar>
              <w:left w:w="108" w:type="dxa"/>
              <w:right w:w="108" w:type="dxa"/>
            </w:tcMar>
          </w:tcPr>
          <w:p w14:paraId="630EAB64" w14:textId="7287576F" w:rsidR="006B079C" w:rsidRPr="00F20619" w:rsidRDefault="006B079C" w:rsidP="001A25E7">
            <w:pPr>
              <w:pStyle w:val="TableListNumber"/>
              <w:rPr>
                <w:rStyle w:val="Emphasis"/>
              </w:rPr>
            </w:pPr>
            <w:r w:rsidRPr="00F20619">
              <w:rPr>
                <w:rStyle w:val="Emphasis"/>
              </w:rPr>
              <w:t>Implementation of Moss review’s recommendations</w:t>
            </w:r>
          </w:p>
        </w:tc>
        <w:tc>
          <w:tcPr>
            <w:tcW w:w="651" w:type="pct"/>
            <w:tcMar>
              <w:left w:w="108" w:type="dxa"/>
              <w:right w:w="108" w:type="dxa"/>
            </w:tcMar>
          </w:tcPr>
          <w:p w14:paraId="44D212D7" w14:textId="012CE647" w:rsidR="006B079C" w:rsidRPr="009A501D" w:rsidRDefault="006B079C" w:rsidP="001A25E7">
            <w:pPr>
              <w:pStyle w:val="TableText"/>
            </w:pPr>
            <w:r w:rsidRPr="008B6317">
              <w:t>15 Dec</w:t>
            </w:r>
            <w:r>
              <w:t>ember</w:t>
            </w:r>
            <w:r w:rsidRPr="008B6317">
              <w:t xml:space="preserve"> 2020</w:t>
            </w:r>
          </w:p>
        </w:tc>
        <w:tc>
          <w:tcPr>
            <w:tcW w:w="564" w:type="pct"/>
            <w:tcMar>
              <w:left w:w="108" w:type="dxa"/>
              <w:right w:w="108" w:type="dxa"/>
            </w:tcMar>
          </w:tcPr>
          <w:p w14:paraId="4A299114" w14:textId="6CAF95DA" w:rsidR="006B079C" w:rsidRPr="009A501D" w:rsidRDefault="006B079C" w:rsidP="006B079C">
            <w:pPr>
              <w:pStyle w:val="TableText"/>
              <w:jc w:val="right"/>
            </w:pPr>
            <w:r w:rsidRPr="00AB6163">
              <w:t>4</w:t>
            </w:r>
          </w:p>
        </w:tc>
        <w:tc>
          <w:tcPr>
            <w:tcW w:w="506" w:type="pct"/>
            <w:tcMar>
              <w:left w:w="108" w:type="dxa"/>
              <w:right w:w="108" w:type="dxa"/>
            </w:tcMar>
          </w:tcPr>
          <w:p w14:paraId="37AF9757" w14:textId="73804A69" w:rsidR="006B079C" w:rsidRPr="009A501D" w:rsidRDefault="006B079C" w:rsidP="006B079C">
            <w:pPr>
              <w:pStyle w:val="TableText"/>
              <w:jc w:val="right"/>
            </w:pPr>
            <w:r w:rsidRPr="00AB6163">
              <w:t>4</w:t>
            </w:r>
          </w:p>
        </w:tc>
        <w:tc>
          <w:tcPr>
            <w:tcW w:w="408" w:type="pct"/>
            <w:tcMar>
              <w:left w:w="108" w:type="dxa"/>
              <w:right w:w="108" w:type="dxa"/>
            </w:tcMar>
          </w:tcPr>
          <w:p w14:paraId="664DADBC" w14:textId="23E63083" w:rsidR="006B079C" w:rsidRPr="009A501D" w:rsidRDefault="006B079C" w:rsidP="006B079C">
            <w:pPr>
              <w:pStyle w:val="TableText"/>
              <w:jc w:val="right"/>
            </w:pPr>
            <w:r w:rsidRPr="0046026D">
              <w:rPr>
                <w:lang w:eastAsia="ja-JP"/>
              </w:rPr>
              <w:t>4</w:t>
            </w:r>
          </w:p>
        </w:tc>
        <w:tc>
          <w:tcPr>
            <w:tcW w:w="441" w:type="pct"/>
            <w:tcMar>
              <w:left w:w="108" w:type="dxa"/>
              <w:right w:w="108" w:type="dxa"/>
            </w:tcMar>
          </w:tcPr>
          <w:p w14:paraId="4D0EE9ED" w14:textId="369D2C0F" w:rsidR="006B079C" w:rsidRPr="009A501D" w:rsidRDefault="006B079C" w:rsidP="006B079C">
            <w:pPr>
              <w:pStyle w:val="TableText"/>
              <w:jc w:val="right"/>
            </w:pPr>
            <w:r w:rsidRPr="0046026D">
              <w:rPr>
                <w:lang w:eastAsia="ja-JP"/>
              </w:rPr>
              <w:t>0</w:t>
            </w:r>
          </w:p>
        </w:tc>
      </w:tr>
      <w:tr w:rsidR="00295E47" w:rsidRPr="009A501D" w14:paraId="4ECD2AE3" w14:textId="77777777" w:rsidTr="00B2134D">
        <w:tc>
          <w:tcPr>
            <w:tcW w:w="2430" w:type="pct"/>
            <w:tcMar>
              <w:left w:w="108" w:type="dxa"/>
              <w:right w:w="108" w:type="dxa"/>
            </w:tcMar>
          </w:tcPr>
          <w:p w14:paraId="5E910C7B" w14:textId="4D322027" w:rsidR="006B079C" w:rsidRPr="00F20619" w:rsidRDefault="006B079C" w:rsidP="001A25E7">
            <w:pPr>
              <w:pStyle w:val="TableListNumber"/>
              <w:rPr>
                <w:rStyle w:val="Emphasis"/>
              </w:rPr>
            </w:pPr>
            <w:r w:rsidRPr="00F20619">
              <w:rPr>
                <w:rStyle w:val="Emphasis"/>
              </w:rPr>
              <w:t>Review of the Exporter Supply Chain Assurance System</w:t>
            </w:r>
          </w:p>
        </w:tc>
        <w:tc>
          <w:tcPr>
            <w:tcW w:w="651" w:type="pct"/>
            <w:tcMar>
              <w:left w:w="108" w:type="dxa"/>
              <w:right w:w="108" w:type="dxa"/>
            </w:tcMar>
          </w:tcPr>
          <w:p w14:paraId="7D98B468" w14:textId="57133004" w:rsidR="006B079C" w:rsidRPr="009A501D" w:rsidRDefault="006B079C" w:rsidP="001A25E7">
            <w:pPr>
              <w:pStyle w:val="TableText"/>
            </w:pPr>
            <w:r w:rsidRPr="008B6317">
              <w:t>28 Jun</w:t>
            </w:r>
            <w:r>
              <w:t>e</w:t>
            </w:r>
            <w:r w:rsidRPr="008B6317">
              <w:t xml:space="preserve"> 2021</w:t>
            </w:r>
          </w:p>
        </w:tc>
        <w:tc>
          <w:tcPr>
            <w:tcW w:w="564" w:type="pct"/>
            <w:tcMar>
              <w:left w:w="108" w:type="dxa"/>
              <w:right w:w="108" w:type="dxa"/>
            </w:tcMar>
          </w:tcPr>
          <w:p w14:paraId="664DF5EF" w14:textId="61DB8EDB" w:rsidR="006B079C" w:rsidRPr="009A501D" w:rsidRDefault="006B079C" w:rsidP="006B079C">
            <w:pPr>
              <w:pStyle w:val="TableText"/>
              <w:jc w:val="right"/>
            </w:pPr>
            <w:r w:rsidRPr="00AB6163">
              <w:t>8</w:t>
            </w:r>
          </w:p>
        </w:tc>
        <w:tc>
          <w:tcPr>
            <w:tcW w:w="506" w:type="pct"/>
            <w:tcMar>
              <w:left w:w="108" w:type="dxa"/>
              <w:right w:w="108" w:type="dxa"/>
            </w:tcMar>
          </w:tcPr>
          <w:p w14:paraId="57E0D147" w14:textId="519E32CE" w:rsidR="006B079C" w:rsidRPr="009A501D" w:rsidRDefault="006B079C" w:rsidP="006B079C">
            <w:pPr>
              <w:pStyle w:val="TableText"/>
              <w:jc w:val="right"/>
            </w:pPr>
            <w:r w:rsidRPr="00AB6163">
              <w:t>8</w:t>
            </w:r>
          </w:p>
        </w:tc>
        <w:tc>
          <w:tcPr>
            <w:tcW w:w="408" w:type="pct"/>
            <w:tcMar>
              <w:left w:w="108" w:type="dxa"/>
              <w:right w:w="108" w:type="dxa"/>
            </w:tcMar>
          </w:tcPr>
          <w:p w14:paraId="66C96982" w14:textId="6CB4A379" w:rsidR="006B079C" w:rsidRPr="009A501D" w:rsidRDefault="006B079C" w:rsidP="006B079C">
            <w:pPr>
              <w:pStyle w:val="TableText"/>
              <w:jc w:val="right"/>
            </w:pPr>
            <w:r w:rsidRPr="0046026D">
              <w:rPr>
                <w:lang w:eastAsia="ja-JP"/>
              </w:rPr>
              <w:t>1</w:t>
            </w:r>
          </w:p>
        </w:tc>
        <w:tc>
          <w:tcPr>
            <w:tcW w:w="441" w:type="pct"/>
            <w:tcMar>
              <w:left w:w="108" w:type="dxa"/>
              <w:right w:w="108" w:type="dxa"/>
            </w:tcMar>
          </w:tcPr>
          <w:p w14:paraId="57E17C76" w14:textId="67402F93" w:rsidR="006B079C" w:rsidRPr="009A501D" w:rsidRDefault="006B079C" w:rsidP="006B079C">
            <w:pPr>
              <w:pStyle w:val="TableText"/>
              <w:jc w:val="right"/>
            </w:pPr>
            <w:r w:rsidRPr="0046026D">
              <w:rPr>
                <w:lang w:eastAsia="ja-JP"/>
              </w:rPr>
              <w:t>7</w:t>
            </w:r>
          </w:p>
        </w:tc>
      </w:tr>
      <w:tr w:rsidR="00625AEF" w:rsidRPr="009A501D" w14:paraId="5EE009B1" w14:textId="77777777" w:rsidTr="00B2134D">
        <w:tc>
          <w:tcPr>
            <w:tcW w:w="2430" w:type="pct"/>
            <w:tcMar>
              <w:left w:w="108" w:type="dxa"/>
              <w:right w:w="108" w:type="dxa"/>
            </w:tcMar>
          </w:tcPr>
          <w:p w14:paraId="648E6EF1" w14:textId="04608246" w:rsidR="00625AEF" w:rsidRPr="00F20619" w:rsidRDefault="00625AEF">
            <w:pPr>
              <w:pStyle w:val="TableListNumber"/>
              <w:rPr>
                <w:rStyle w:val="Emphasis"/>
              </w:rPr>
            </w:pPr>
            <w:r w:rsidRPr="00F20619">
              <w:rPr>
                <w:rStyle w:val="Emphasis"/>
              </w:rPr>
              <w:t>Livestock export permit systems and processes</w:t>
            </w:r>
          </w:p>
        </w:tc>
        <w:tc>
          <w:tcPr>
            <w:tcW w:w="651" w:type="pct"/>
            <w:tcMar>
              <w:left w:w="108" w:type="dxa"/>
              <w:right w:w="108" w:type="dxa"/>
            </w:tcMar>
          </w:tcPr>
          <w:p w14:paraId="474301B2" w14:textId="2F7A5A89" w:rsidR="00625AEF" w:rsidRPr="008B6317" w:rsidRDefault="00625AEF">
            <w:pPr>
              <w:pStyle w:val="TableText"/>
            </w:pPr>
            <w:r>
              <w:t>24 November 2021</w:t>
            </w:r>
          </w:p>
        </w:tc>
        <w:tc>
          <w:tcPr>
            <w:tcW w:w="564" w:type="pct"/>
            <w:tcMar>
              <w:left w:w="108" w:type="dxa"/>
              <w:right w:w="108" w:type="dxa"/>
            </w:tcMar>
          </w:tcPr>
          <w:p w14:paraId="70A4E3F3" w14:textId="03F015B6" w:rsidR="00625AEF" w:rsidRPr="00AB6163" w:rsidRDefault="00625AEF" w:rsidP="006B079C">
            <w:pPr>
              <w:pStyle w:val="TableText"/>
              <w:jc w:val="right"/>
            </w:pPr>
            <w:r>
              <w:t>7</w:t>
            </w:r>
          </w:p>
        </w:tc>
        <w:tc>
          <w:tcPr>
            <w:tcW w:w="506" w:type="pct"/>
            <w:tcMar>
              <w:left w:w="108" w:type="dxa"/>
              <w:right w:w="108" w:type="dxa"/>
            </w:tcMar>
          </w:tcPr>
          <w:p w14:paraId="00C9DCC3" w14:textId="2C7D95B9" w:rsidR="00625AEF" w:rsidRPr="00AB6163" w:rsidRDefault="00625AEF" w:rsidP="006B079C">
            <w:pPr>
              <w:pStyle w:val="TableText"/>
              <w:jc w:val="right"/>
            </w:pPr>
            <w:r>
              <w:t>7</w:t>
            </w:r>
          </w:p>
        </w:tc>
        <w:tc>
          <w:tcPr>
            <w:tcW w:w="408" w:type="pct"/>
            <w:tcMar>
              <w:left w:w="108" w:type="dxa"/>
              <w:right w:w="108" w:type="dxa"/>
            </w:tcMar>
          </w:tcPr>
          <w:p w14:paraId="5B26E580" w14:textId="68E5B34B" w:rsidR="00625AEF" w:rsidRPr="0046026D" w:rsidRDefault="00625AEF" w:rsidP="006B079C">
            <w:pPr>
              <w:pStyle w:val="TableText"/>
              <w:jc w:val="right"/>
              <w:rPr>
                <w:lang w:eastAsia="ja-JP"/>
              </w:rPr>
            </w:pPr>
            <w:r>
              <w:rPr>
                <w:lang w:eastAsia="ja-JP"/>
              </w:rPr>
              <w:t>1</w:t>
            </w:r>
          </w:p>
        </w:tc>
        <w:tc>
          <w:tcPr>
            <w:tcW w:w="441" w:type="pct"/>
            <w:tcMar>
              <w:left w:w="108" w:type="dxa"/>
              <w:right w:w="108" w:type="dxa"/>
            </w:tcMar>
          </w:tcPr>
          <w:p w14:paraId="7E3F5655" w14:textId="2CDE823C" w:rsidR="00625AEF" w:rsidRPr="0046026D" w:rsidRDefault="00272BCA" w:rsidP="006B079C">
            <w:pPr>
              <w:pStyle w:val="TableText"/>
              <w:jc w:val="right"/>
              <w:rPr>
                <w:lang w:eastAsia="ja-JP"/>
              </w:rPr>
            </w:pPr>
            <w:r>
              <w:rPr>
                <w:lang w:eastAsia="ja-JP"/>
              </w:rPr>
              <w:t>6</w:t>
            </w:r>
          </w:p>
        </w:tc>
      </w:tr>
      <w:tr w:rsidR="00625AEF" w:rsidRPr="009A501D" w14:paraId="5264D46A" w14:textId="77777777" w:rsidTr="00B2134D">
        <w:tc>
          <w:tcPr>
            <w:tcW w:w="2430" w:type="pct"/>
            <w:tcMar>
              <w:left w:w="108" w:type="dxa"/>
              <w:right w:w="108" w:type="dxa"/>
            </w:tcMar>
          </w:tcPr>
          <w:p w14:paraId="3CF83389" w14:textId="4969592C" w:rsidR="00625AEF" w:rsidRPr="00F20619" w:rsidRDefault="00625AEF">
            <w:pPr>
              <w:pStyle w:val="TableListNumber"/>
              <w:rPr>
                <w:rStyle w:val="Emphasis"/>
              </w:rPr>
            </w:pPr>
            <w:r w:rsidRPr="00F20619">
              <w:rPr>
                <w:rStyle w:val="Emphasis"/>
              </w:rPr>
              <w:t>Livestock export licences and approved arrangements</w:t>
            </w:r>
          </w:p>
        </w:tc>
        <w:tc>
          <w:tcPr>
            <w:tcW w:w="651" w:type="pct"/>
            <w:tcMar>
              <w:left w:w="108" w:type="dxa"/>
              <w:right w:w="108" w:type="dxa"/>
            </w:tcMar>
          </w:tcPr>
          <w:p w14:paraId="18DDF0A1" w14:textId="4C54B7F1" w:rsidR="00625AEF" w:rsidRPr="008B6317" w:rsidRDefault="00625AEF">
            <w:pPr>
              <w:pStyle w:val="TableText"/>
            </w:pPr>
            <w:r>
              <w:t>11 October 2022</w:t>
            </w:r>
          </w:p>
        </w:tc>
        <w:tc>
          <w:tcPr>
            <w:tcW w:w="564" w:type="pct"/>
            <w:tcMar>
              <w:left w:w="108" w:type="dxa"/>
              <w:right w:w="108" w:type="dxa"/>
            </w:tcMar>
          </w:tcPr>
          <w:p w14:paraId="15650C82" w14:textId="14989B27" w:rsidR="00625AEF" w:rsidRPr="00AB6163" w:rsidRDefault="00272BCA" w:rsidP="006B079C">
            <w:pPr>
              <w:pStyle w:val="TableText"/>
              <w:jc w:val="right"/>
            </w:pPr>
            <w:r>
              <w:t>4</w:t>
            </w:r>
          </w:p>
        </w:tc>
        <w:tc>
          <w:tcPr>
            <w:tcW w:w="506" w:type="pct"/>
            <w:tcMar>
              <w:left w:w="108" w:type="dxa"/>
              <w:right w:w="108" w:type="dxa"/>
            </w:tcMar>
          </w:tcPr>
          <w:p w14:paraId="609D9DA8" w14:textId="3D84D9AC" w:rsidR="00625AEF" w:rsidRPr="00AB6163" w:rsidRDefault="00272BCA" w:rsidP="006B079C">
            <w:pPr>
              <w:pStyle w:val="TableText"/>
              <w:jc w:val="right"/>
            </w:pPr>
            <w:r>
              <w:t>4</w:t>
            </w:r>
          </w:p>
        </w:tc>
        <w:tc>
          <w:tcPr>
            <w:tcW w:w="408" w:type="pct"/>
            <w:tcMar>
              <w:left w:w="108" w:type="dxa"/>
              <w:right w:w="108" w:type="dxa"/>
            </w:tcMar>
          </w:tcPr>
          <w:p w14:paraId="19B62C58" w14:textId="2C9F5F4C" w:rsidR="00625AEF" w:rsidRPr="0046026D" w:rsidRDefault="00272BCA" w:rsidP="006B079C">
            <w:pPr>
              <w:pStyle w:val="TableText"/>
              <w:jc w:val="right"/>
              <w:rPr>
                <w:lang w:eastAsia="ja-JP"/>
              </w:rPr>
            </w:pPr>
            <w:r>
              <w:rPr>
                <w:lang w:eastAsia="ja-JP"/>
              </w:rPr>
              <w:t>0</w:t>
            </w:r>
          </w:p>
        </w:tc>
        <w:tc>
          <w:tcPr>
            <w:tcW w:w="441" w:type="pct"/>
            <w:tcMar>
              <w:left w:w="108" w:type="dxa"/>
              <w:right w:w="108" w:type="dxa"/>
            </w:tcMar>
          </w:tcPr>
          <w:p w14:paraId="7CCFFE89" w14:textId="7917A8D8" w:rsidR="00625AEF" w:rsidRPr="0046026D" w:rsidRDefault="00272BCA" w:rsidP="006B079C">
            <w:pPr>
              <w:pStyle w:val="TableText"/>
              <w:jc w:val="right"/>
              <w:rPr>
                <w:lang w:eastAsia="ja-JP"/>
              </w:rPr>
            </w:pPr>
            <w:r>
              <w:rPr>
                <w:lang w:eastAsia="ja-JP"/>
              </w:rPr>
              <w:t>4</w:t>
            </w:r>
          </w:p>
        </w:tc>
      </w:tr>
      <w:tr w:rsidR="00625AEF" w:rsidRPr="009A501D" w14:paraId="28A63947" w14:textId="77777777" w:rsidTr="00B2134D">
        <w:tc>
          <w:tcPr>
            <w:tcW w:w="2430" w:type="pct"/>
            <w:tcMar>
              <w:left w:w="108" w:type="dxa"/>
              <w:right w:w="108" w:type="dxa"/>
            </w:tcMar>
          </w:tcPr>
          <w:p w14:paraId="01E14870" w14:textId="377DDDF0" w:rsidR="00625AEF" w:rsidRPr="00F20619" w:rsidRDefault="00625AEF">
            <w:pPr>
              <w:pStyle w:val="TableListNumber"/>
              <w:rPr>
                <w:rStyle w:val="Emphasis"/>
              </w:rPr>
            </w:pPr>
            <w:r w:rsidRPr="00F20619">
              <w:rPr>
                <w:rStyle w:val="Emphasis"/>
              </w:rPr>
              <w:t>Communication and engagement in livestock export regulation</w:t>
            </w:r>
          </w:p>
        </w:tc>
        <w:tc>
          <w:tcPr>
            <w:tcW w:w="651" w:type="pct"/>
            <w:tcMar>
              <w:left w:w="108" w:type="dxa"/>
              <w:right w:w="108" w:type="dxa"/>
            </w:tcMar>
          </w:tcPr>
          <w:p w14:paraId="3AA49DA5" w14:textId="4F17A7F0" w:rsidR="00625AEF" w:rsidRPr="008B6317" w:rsidRDefault="00272BCA">
            <w:pPr>
              <w:pStyle w:val="TableText"/>
            </w:pPr>
            <w:r>
              <w:t>6 April 2023</w:t>
            </w:r>
          </w:p>
        </w:tc>
        <w:tc>
          <w:tcPr>
            <w:tcW w:w="564" w:type="pct"/>
            <w:tcMar>
              <w:left w:w="108" w:type="dxa"/>
              <w:right w:w="108" w:type="dxa"/>
            </w:tcMar>
          </w:tcPr>
          <w:p w14:paraId="58409C2F" w14:textId="599271E9" w:rsidR="00625AEF" w:rsidRPr="00AB6163" w:rsidRDefault="00272BCA" w:rsidP="006B079C">
            <w:pPr>
              <w:pStyle w:val="TableText"/>
              <w:jc w:val="right"/>
            </w:pPr>
            <w:r>
              <w:t>6</w:t>
            </w:r>
          </w:p>
        </w:tc>
        <w:tc>
          <w:tcPr>
            <w:tcW w:w="506" w:type="pct"/>
            <w:tcMar>
              <w:left w:w="108" w:type="dxa"/>
              <w:right w:w="108" w:type="dxa"/>
            </w:tcMar>
          </w:tcPr>
          <w:p w14:paraId="41B48E5E" w14:textId="6228DBAC" w:rsidR="00625AEF" w:rsidRPr="00AB6163" w:rsidRDefault="00272BCA" w:rsidP="006B079C">
            <w:pPr>
              <w:pStyle w:val="TableText"/>
              <w:jc w:val="right"/>
            </w:pPr>
            <w:r>
              <w:t>6</w:t>
            </w:r>
          </w:p>
        </w:tc>
        <w:tc>
          <w:tcPr>
            <w:tcW w:w="408" w:type="pct"/>
            <w:tcMar>
              <w:left w:w="108" w:type="dxa"/>
              <w:right w:w="108" w:type="dxa"/>
            </w:tcMar>
          </w:tcPr>
          <w:p w14:paraId="46C67714" w14:textId="54804221" w:rsidR="00625AEF" w:rsidRPr="0046026D" w:rsidRDefault="00272BCA" w:rsidP="006B079C">
            <w:pPr>
              <w:pStyle w:val="TableText"/>
              <w:jc w:val="right"/>
              <w:rPr>
                <w:lang w:eastAsia="ja-JP"/>
              </w:rPr>
            </w:pPr>
            <w:r>
              <w:rPr>
                <w:lang w:eastAsia="ja-JP"/>
              </w:rPr>
              <w:t>0</w:t>
            </w:r>
          </w:p>
        </w:tc>
        <w:tc>
          <w:tcPr>
            <w:tcW w:w="441" w:type="pct"/>
            <w:tcMar>
              <w:left w:w="108" w:type="dxa"/>
              <w:right w:w="108" w:type="dxa"/>
            </w:tcMar>
          </w:tcPr>
          <w:p w14:paraId="46D30651" w14:textId="5775D45D" w:rsidR="00625AEF" w:rsidRPr="0046026D" w:rsidRDefault="00272BCA" w:rsidP="006B079C">
            <w:pPr>
              <w:pStyle w:val="TableText"/>
              <w:jc w:val="right"/>
              <w:rPr>
                <w:lang w:eastAsia="ja-JP"/>
              </w:rPr>
            </w:pPr>
            <w:r>
              <w:rPr>
                <w:lang w:eastAsia="ja-JP"/>
              </w:rPr>
              <w:t>6</w:t>
            </w:r>
          </w:p>
        </w:tc>
      </w:tr>
      <w:tr w:rsidR="00625AEF" w:rsidRPr="009A501D" w14:paraId="7DE2BECB" w14:textId="77777777" w:rsidTr="00B2134D">
        <w:tc>
          <w:tcPr>
            <w:tcW w:w="2430" w:type="pct"/>
            <w:tcMar>
              <w:left w:w="108" w:type="dxa"/>
              <w:right w:w="108" w:type="dxa"/>
            </w:tcMar>
          </w:tcPr>
          <w:p w14:paraId="5161E679" w14:textId="1B4E6C80" w:rsidR="00625AEF" w:rsidRPr="00F20619" w:rsidRDefault="00625AEF">
            <w:pPr>
              <w:pStyle w:val="TableListNumber"/>
              <w:rPr>
                <w:rStyle w:val="Emphasis"/>
              </w:rPr>
            </w:pPr>
            <w:r w:rsidRPr="00F20619">
              <w:rPr>
                <w:rStyle w:val="Emphasis"/>
              </w:rPr>
              <w:t>Implementation of Inspector-General of Live Animal Exports recommendations</w:t>
            </w:r>
          </w:p>
        </w:tc>
        <w:tc>
          <w:tcPr>
            <w:tcW w:w="651" w:type="pct"/>
            <w:tcMar>
              <w:left w:w="108" w:type="dxa"/>
              <w:right w:w="108" w:type="dxa"/>
            </w:tcMar>
          </w:tcPr>
          <w:p w14:paraId="33D3A047" w14:textId="2FD29A19" w:rsidR="00625AEF" w:rsidRPr="008B6317" w:rsidRDefault="00272BCA">
            <w:pPr>
              <w:pStyle w:val="TableText"/>
            </w:pPr>
            <w:r>
              <w:t>20 August 2024</w:t>
            </w:r>
          </w:p>
        </w:tc>
        <w:tc>
          <w:tcPr>
            <w:tcW w:w="564" w:type="pct"/>
            <w:tcMar>
              <w:left w:w="108" w:type="dxa"/>
              <w:right w:w="108" w:type="dxa"/>
            </w:tcMar>
          </w:tcPr>
          <w:p w14:paraId="58B881FB" w14:textId="3D6E8826" w:rsidR="00625AEF" w:rsidRPr="00AB6163" w:rsidRDefault="00272BCA" w:rsidP="006B079C">
            <w:pPr>
              <w:pStyle w:val="TableText"/>
              <w:jc w:val="right"/>
            </w:pPr>
            <w:r>
              <w:t>4</w:t>
            </w:r>
          </w:p>
        </w:tc>
        <w:tc>
          <w:tcPr>
            <w:tcW w:w="506" w:type="pct"/>
            <w:tcMar>
              <w:left w:w="108" w:type="dxa"/>
              <w:right w:w="108" w:type="dxa"/>
            </w:tcMar>
          </w:tcPr>
          <w:p w14:paraId="395F713F" w14:textId="5469F631" w:rsidR="00625AEF" w:rsidRPr="00AB6163" w:rsidRDefault="00272BCA" w:rsidP="006B079C">
            <w:pPr>
              <w:pStyle w:val="TableText"/>
              <w:jc w:val="right"/>
            </w:pPr>
            <w:r>
              <w:t>4</w:t>
            </w:r>
          </w:p>
        </w:tc>
        <w:tc>
          <w:tcPr>
            <w:tcW w:w="408" w:type="pct"/>
            <w:tcMar>
              <w:left w:w="108" w:type="dxa"/>
              <w:right w:w="108" w:type="dxa"/>
            </w:tcMar>
          </w:tcPr>
          <w:p w14:paraId="1D88496B" w14:textId="00168E38" w:rsidR="00625AEF" w:rsidRPr="0046026D" w:rsidRDefault="00272BCA" w:rsidP="006B079C">
            <w:pPr>
              <w:pStyle w:val="TableText"/>
              <w:jc w:val="right"/>
              <w:rPr>
                <w:lang w:eastAsia="ja-JP"/>
              </w:rPr>
            </w:pPr>
            <w:r>
              <w:rPr>
                <w:lang w:eastAsia="ja-JP"/>
              </w:rPr>
              <w:t>0</w:t>
            </w:r>
          </w:p>
        </w:tc>
        <w:tc>
          <w:tcPr>
            <w:tcW w:w="441" w:type="pct"/>
            <w:tcMar>
              <w:left w:w="108" w:type="dxa"/>
              <w:right w:w="108" w:type="dxa"/>
            </w:tcMar>
          </w:tcPr>
          <w:p w14:paraId="107544F2" w14:textId="7C5ABAB4" w:rsidR="00625AEF" w:rsidRPr="0046026D" w:rsidRDefault="00272BCA" w:rsidP="006B079C">
            <w:pPr>
              <w:pStyle w:val="TableText"/>
              <w:jc w:val="right"/>
              <w:rPr>
                <w:lang w:eastAsia="ja-JP"/>
              </w:rPr>
            </w:pPr>
            <w:r>
              <w:rPr>
                <w:lang w:eastAsia="ja-JP"/>
              </w:rPr>
              <w:t>4</w:t>
            </w:r>
          </w:p>
        </w:tc>
      </w:tr>
      <w:tr w:rsidR="00625AEF" w:rsidRPr="009A501D" w14:paraId="43637847" w14:textId="77777777" w:rsidTr="00B2134D">
        <w:tc>
          <w:tcPr>
            <w:tcW w:w="2430" w:type="pct"/>
            <w:tcMar>
              <w:left w:w="108" w:type="dxa"/>
              <w:right w:w="108" w:type="dxa"/>
            </w:tcMar>
          </w:tcPr>
          <w:p w14:paraId="164F261F" w14:textId="2782F93E" w:rsidR="00625AEF" w:rsidRPr="00F20619" w:rsidRDefault="00625AEF">
            <w:pPr>
              <w:pStyle w:val="TableListNumber"/>
              <w:rPr>
                <w:rStyle w:val="Emphasis"/>
              </w:rPr>
            </w:pPr>
            <w:r w:rsidRPr="00F20619">
              <w:rPr>
                <w:rStyle w:val="Emphasis"/>
              </w:rPr>
              <w:t>Independent Observer Program</w:t>
            </w:r>
          </w:p>
        </w:tc>
        <w:tc>
          <w:tcPr>
            <w:tcW w:w="651" w:type="pct"/>
            <w:tcMar>
              <w:left w:w="108" w:type="dxa"/>
              <w:right w:w="108" w:type="dxa"/>
            </w:tcMar>
          </w:tcPr>
          <w:p w14:paraId="75762ED4" w14:textId="1305A9A7" w:rsidR="00625AEF" w:rsidRPr="008B6317" w:rsidRDefault="00272BCA">
            <w:pPr>
              <w:pStyle w:val="TableText"/>
            </w:pPr>
            <w:r>
              <w:t>20 August 2024</w:t>
            </w:r>
          </w:p>
        </w:tc>
        <w:tc>
          <w:tcPr>
            <w:tcW w:w="564" w:type="pct"/>
            <w:tcMar>
              <w:left w:w="108" w:type="dxa"/>
              <w:right w:w="108" w:type="dxa"/>
            </w:tcMar>
          </w:tcPr>
          <w:p w14:paraId="51EF645D" w14:textId="5B4A158D" w:rsidR="00625AEF" w:rsidRPr="00AB6163" w:rsidRDefault="00272BCA" w:rsidP="006B079C">
            <w:pPr>
              <w:pStyle w:val="TableText"/>
              <w:jc w:val="right"/>
            </w:pPr>
            <w:r>
              <w:t>3</w:t>
            </w:r>
          </w:p>
        </w:tc>
        <w:tc>
          <w:tcPr>
            <w:tcW w:w="506" w:type="pct"/>
            <w:tcMar>
              <w:left w:w="108" w:type="dxa"/>
              <w:right w:w="108" w:type="dxa"/>
            </w:tcMar>
          </w:tcPr>
          <w:p w14:paraId="67EA2C9C" w14:textId="4429B0AB" w:rsidR="00625AEF" w:rsidRPr="00AB6163" w:rsidRDefault="00272BCA" w:rsidP="006B079C">
            <w:pPr>
              <w:pStyle w:val="TableText"/>
              <w:jc w:val="right"/>
            </w:pPr>
            <w:r>
              <w:t>3</w:t>
            </w:r>
          </w:p>
        </w:tc>
        <w:tc>
          <w:tcPr>
            <w:tcW w:w="408" w:type="pct"/>
            <w:tcMar>
              <w:left w:w="108" w:type="dxa"/>
              <w:right w:w="108" w:type="dxa"/>
            </w:tcMar>
          </w:tcPr>
          <w:p w14:paraId="1DBE3AEF" w14:textId="0E6B5FEC" w:rsidR="00625AEF" w:rsidRPr="0046026D" w:rsidRDefault="00272BCA" w:rsidP="006B079C">
            <w:pPr>
              <w:pStyle w:val="TableText"/>
              <w:jc w:val="right"/>
              <w:rPr>
                <w:lang w:eastAsia="ja-JP"/>
              </w:rPr>
            </w:pPr>
            <w:r>
              <w:rPr>
                <w:lang w:eastAsia="ja-JP"/>
              </w:rPr>
              <w:t>0</w:t>
            </w:r>
          </w:p>
        </w:tc>
        <w:tc>
          <w:tcPr>
            <w:tcW w:w="441" w:type="pct"/>
            <w:tcMar>
              <w:left w:w="108" w:type="dxa"/>
              <w:right w:w="108" w:type="dxa"/>
            </w:tcMar>
          </w:tcPr>
          <w:p w14:paraId="25E7A9A2" w14:textId="484BA55E" w:rsidR="00625AEF" w:rsidRPr="0046026D" w:rsidRDefault="00272BCA" w:rsidP="006B079C">
            <w:pPr>
              <w:pStyle w:val="TableText"/>
              <w:jc w:val="right"/>
              <w:rPr>
                <w:lang w:eastAsia="ja-JP"/>
              </w:rPr>
            </w:pPr>
            <w:r>
              <w:rPr>
                <w:lang w:eastAsia="ja-JP"/>
              </w:rPr>
              <w:t>3</w:t>
            </w:r>
          </w:p>
        </w:tc>
      </w:tr>
      <w:tr w:rsidR="00295E47" w14:paraId="34B1D34A" w14:textId="77777777" w:rsidTr="00B2134D">
        <w:tc>
          <w:tcPr>
            <w:tcW w:w="3081" w:type="pct"/>
            <w:gridSpan w:val="2"/>
            <w:tcMar>
              <w:left w:w="108" w:type="dxa"/>
              <w:right w:w="108" w:type="dxa"/>
            </w:tcMar>
          </w:tcPr>
          <w:p w14:paraId="4E40C4EC" w14:textId="19320B58" w:rsidR="00100B03" w:rsidRPr="001A25E7" w:rsidRDefault="00100B03" w:rsidP="001A25E7">
            <w:pPr>
              <w:pStyle w:val="TableText"/>
              <w:rPr>
                <w:rStyle w:val="Strong"/>
              </w:rPr>
            </w:pPr>
            <w:r w:rsidRPr="001A25E7">
              <w:rPr>
                <w:rStyle w:val="Strong"/>
              </w:rPr>
              <w:t>Total</w:t>
            </w:r>
          </w:p>
        </w:tc>
        <w:tc>
          <w:tcPr>
            <w:tcW w:w="564" w:type="pct"/>
            <w:tcMar>
              <w:left w:w="108" w:type="dxa"/>
              <w:right w:w="108" w:type="dxa"/>
            </w:tcMar>
          </w:tcPr>
          <w:p w14:paraId="25CF7BD6" w14:textId="00F102B6" w:rsidR="00100B03" w:rsidRPr="001A25E7" w:rsidRDefault="006B079C" w:rsidP="00100B03">
            <w:pPr>
              <w:pStyle w:val="TableText"/>
              <w:jc w:val="right"/>
              <w:rPr>
                <w:rStyle w:val="Strong"/>
              </w:rPr>
            </w:pPr>
            <w:r w:rsidRPr="001A25E7">
              <w:rPr>
                <w:rStyle w:val="Strong"/>
              </w:rPr>
              <w:t>48</w:t>
            </w:r>
          </w:p>
        </w:tc>
        <w:tc>
          <w:tcPr>
            <w:tcW w:w="506" w:type="pct"/>
            <w:tcMar>
              <w:left w:w="108" w:type="dxa"/>
              <w:right w:w="108" w:type="dxa"/>
            </w:tcMar>
          </w:tcPr>
          <w:p w14:paraId="23CE7C03" w14:textId="2BAF362A" w:rsidR="00100B03" w:rsidRPr="001A25E7" w:rsidRDefault="006B079C" w:rsidP="00100B03">
            <w:pPr>
              <w:pStyle w:val="TableText"/>
              <w:jc w:val="right"/>
              <w:rPr>
                <w:rStyle w:val="Strong"/>
              </w:rPr>
            </w:pPr>
            <w:r w:rsidRPr="001A25E7">
              <w:rPr>
                <w:rStyle w:val="Strong"/>
              </w:rPr>
              <w:t>48</w:t>
            </w:r>
          </w:p>
        </w:tc>
        <w:tc>
          <w:tcPr>
            <w:tcW w:w="408" w:type="pct"/>
            <w:tcMar>
              <w:left w:w="108" w:type="dxa"/>
              <w:right w:w="108" w:type="dxa"/>
            </w:tcMar>
          </w:tcPr>
          <w:p w14:paraId="43784C91" w14:textId="09774FE7" w:rsidR="00100B03" w:rsidRPr="001A25E7" w:rsidRDefault="006B079C" w:rsidP="00100B03">
            <w:pPr>
              <w:pStyle w:val="TableText"/>
              <w:jc w:val="right"/>
              <w:rPr>
                <w:rStyle w:val="Strong"/>
              </w:rPr>
            </w:pPr>
            <w:r w:rsidRPr="001A25E7">
              <w:rPr>
                <w:rStyle w:val="Strong"/>
              </w:rPr>
              <w:t>13</w:t>
            </w:r>
          </w:p>
        </w:tc>
        <w:tc>
          <w:tcPr>
            <w:tcW w:w="441" w:type="pct"/>
            <w:tcMar>
              <w:left w:w="108" w:type="dxa"/>
              <w:right w:w="108" w:type="dxa"/>
            </w:tcMar>
          </w:tcPr>
          <w:p w14:paraId="791E2978" w14:textId="35988BA1" w:rsidR="00100B03" w:rsidRPr="001A25E7" w:rsidRDefault="006B079C" w:rsidP="00100B03">
            <w:pPr>
              <w:pStyle w:val="TableText"/>
              <w:jc w:val="right"/>
              <w:rPr>
                <w:rStyle w:val="Strong"/>
              </w:rPr>
            </w:pPr>
            <w:r w:rsidRPr="001A25E7">
              <w:rPr>
                <w:rStyle w:val="Strong"/>
              </w:rPr>
              <w:t>35</w:t>
            </w:r>
          </w:p>
        </w:tc>
      </w:tr>
    </w:tbl>
    <w:p w14:paraId="573CA1C8" w14:textId="2F02E20F" w:rsidR="00295114" w:rsidRPr="00295114" w:rsidRDefault="0042182F" w:rsidP="007B62E9">
      <w:pPr>
        <w:pStyle w:val="FigureTableNoteSource"/>
      </w:pPr>
      <w:r w:rsidRPr="001A25E7">
        <w:rPr>
          <w:rStyle w:val="Strong"/>
        </w:rPr>
        <w:t>a</w:t>
      </w:r>
      <w:r w:rsidR="00100B03">
        <w:rPr>
          <w:b/>
        </w:rPr>
        <w:t xml:space="preserve"> </w:t>
      </w:r>
      <w:r w:rsidR="00685894" w:rsidRPr="00F20619">
        <w:t xml:space="preserve">Agreed or agreed in </w:t>
      </w:r>
      <w:r w:rsidR="005C4980" w:rsidRPr="00F20619">
        <w:t>princip</w:t>
      </w:r>
      <w:r w:rsidR="00145072" w:rsidRPr="00F20619">
        <w:t>l</w:t>
      </w:r>
      <w:r w:rsidR="007B62E9" w:rsidRPr="00F20619">
        <w:t>e</w:t>
      </w:r>
      <w:r w:rsidR="00B2134D" w:rsidRPr="00F20619">
        <w:t>.</w:t>
      </w:r>
    </w:p>
    <w:sectPr w:rsidR="00295114" w:rsidRPr="00295114" w:rsidSect="007B62E9">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9CDA" w14:textId="77777777" w:rsidR="00A06D1D" w:rsidRDefault="00A06D1D">
      <w:r>
        <w:separator/>
      </w:r>
    </w:p>
    <w:p w14:paraId="401E3BAD" w14:textId="77777777" w:rsidR="00A06D1D" w:rsidRDefault="00A06D1D"/>
    <w:p w14:paraId="62E42593" w14:textId="77777777" w:rsidR="00A06D1D" w:rsidRDefault="00A06D1D"/>
  </w:endnote>
  <w:endnote w:type="continuationSeparator" w:id="0">
    <w:p w14:paraId="57D2B591" w14:textId="77777777" w:rsidR="00A06D1D" w:rsidRDefault="00A06D1D">
      <w:r>
        <w:continuationSeparator/>
      </w:r>
    </w:p>
    <w:p w14:paraId="498C6C71" w14:textId="77777777" w:rsidR="00A06D1D" w:rsidRDefault="00A06D1D"/>
    <w:p w14:paraId="2B29130E" w14:textId="77777777" w:rsidR="00A06D1D" w:rsidRDefault="00A06D1D"/>
  </w:endnote>
  <w:endnote w:type="continuationNotice" w:id="1">
    <w:p w14:paraId="05BDE53B" w14:textId="77777777" w:rsidR="00A06D1D" w:rsidRDefault="00A06D1D">
      <w:pPr>
        <w:pStyle w:val="Footer"/>
      </w:pPr>
    </w:p>
    <w:p w14:paraId="610FAA60" w14:textId="77777777" w:rsidR="00A06D1D" w:rsidRDefault="00A06D1D"/>
    <w:p w14:paraId="31080994" w14:textId="77777777" w:rsidR="00A06D1D" w:rsidRDefault="00A06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6E96" w14:textId="77777777" w:rsidR="0020216A" w:rsidRDefault="00057E37">
    <w:pPr>
      <w:pStyle w:val="Footer"/>
    </w:pPr>
    <w:r>
      <w:rPr>
        <w:noProof/>
      </w:rPr>
      <mc:AlternateContent>
        <mc:Choice Requires="wps">
          <w:drawing>
            <wp:anchor distT="0" distB="0" distL="0" distR="0" simplePos="0" relativeHeight="251664896" behindDoc="0" locked="0" layoutInCell="1" allowOverlap="1" wp14:anchorId="6E187485" wp14:editId="3B3B03C2">
              <wp:simplePos x="635" y="635"/>
              <wp:positionH relativeFrom="page">
                <wp:align>center</wp:align>
              </wp:positionH>
              <wp:positionV relativeFrom="page">
                <wp:align>bottom</wp:align>
              </wp:positionV>
              <wp:extent cx="551815" cy="404495"/>
              <wp:effectExtent l="0" t="0" r="635" b="0"/>
              <wp:wrapNone/>
              <wp:docPr id="1929950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7A07DC"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87485"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C7A07DC"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F016" w14:textId="77777777" w:rsidR="00B861B4" w:rsidRDefault="00057E37" w:rsidP="00C42485">
    <w:pPr>
      <w:pStyle w:val="Footer"/>
      <w:tabs>
        <w:tab w:val="left" w:pos="5387"/>
      </w:tabs>
    </w:pPr>
    <w:r>
      <w:rPr>
        <w:noProof/>
      </w:rPr>
      <mc:AlternateContent>
        <mc:Choice Requires="wps">
          <w:drawing>
            <wp:anchor distT="0" distB="0" distL="0" distR="0" simplePos="0" relativeHeight="251670016" behindDoc="0" locked="0" layoutInCell="1" allowOverlap="1" wp14:anchorId="620C039D" wp14:editId="01F38B96">
              <wp:simplePos x="901065" y="10053320"/>
              <wp:positionH relativeFrom="page">
                <wp:align>center</wp:align>
              </wp:positionH>
              <wp:positionV relativeFrom="page">
                <wp:align>bottom</wp:align>
              </wp:positionV>
              <wp:extent cx="551815" cy="404495"/>
              <wp:effectExtent l="0" t="0" r="635" b="0"/>
              <wp:wrapNone/>
              <wp:docPr id="2130921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DF31F2"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C039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BDF31F2"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bookmarkStart w:id="12" w:name="_Hlk204773544"/>
    <w:r w:rsidR="00C42485" w:rsidRPr="00C42485">
      <w:rPr>
        <w:noProof/>
      </w:rPr>
      <w:t>Inspector-General of Animal Welfare and Live Animal Exports</w:t>
    </w:r>
    <w:bookmarkEnd w:id="12"/>
    <w:r w:rsidR="003F22A3">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AB14" w14:textId="77777777" w:rsidR="003F22A3" w:rsidRDefault="00057E37">
    <w:pPr>
      <w:pStyle w:val="Footer"/>
    </w:pPr>
    <w:r>
      <w:rPr>
        <w:noProof/>
      </w:rPr>
      <mc:AlternateContent>
        <mc:Choice Requires="wps">
          <w:drawing>
            <wp:anchor distT="0" distB="0" distL="0" distR="0" simplePos="0" relativeHeight="251659776" behindDoc="0" locked="0" layoutInCell="1" allowOverlap="1" wp14:anchorId="5F81A445" wp14:editId="0B87C715">
              <wp:simplePos x="899770" y="10051085"/>
              <wp:positionH relativeFrom="page">
                <wp:align>center</wp:align>
              </wp:positionH>
              <wp:positionV relativeFrom="page">
                <wp:align>bottom</wp:align>
              </wp:positionV>
              <wp:extent cx="551815" cy="404495"/>
              <wp:effectExtent l="0" t="0" r="635" b="0"/>
              <wp:wrapNone/>
              <wp:docPr id="17334078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8C42AD"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1A44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08C42AD"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2E26E" w14:textId="77777777" w:rsidR="00A06D1D" w:rsidRDefault="00A06D1D">
      <w:r>
        <w:separator/>
      </w:r>
    </w:p>
    <w:p w14:paraId="29F55B45" w14:textId="77777777" w:rsidR="00A06D1D" w:rsidRDefault="00A06D1D"/>
    <w:p w14:paraId="44BB4094" w14:textId="77777777" w:rsidR="00A06D1D" w:rsidRDefault="00A06D1D"/>
  </w:footnote>
  <w:footnote w:type="continuationSeparator" w:id="0">
    <w:p w14:paraId="2199BB0C" w14:textId="77777777" w:rsidR="00A06D1D" w:rsidRDefault="00A06D1D">
      <w:r>
        <w:continuationSeparator/>
      </w:r>
    </w:p>
    <w:p w14:paraId="21A98CF5" w14:textId="77777777" w:rsidR="00A06D1D" w:rsidRDefault="00A06D1D"/>
    <w:p w14:paraId="0091656E" w14:textId="77777777" w:rsidR="00A06D1D" w:rsidRDefault="00A06D1D"/>
  </w:footnote>
  <w:footnote w:type="continuationNotice" w:id="1">
    <w:p w14:paraId="6D4B874A" w14:textId="77777777" w:rsidR="00A06D1D" w:rsidRDefault="00A06D1D">
      <w:pPr>
        <w:pStyle w:val="Footer"/>
      </w:pPr>
    </w:p>
    <w:p w14:paraId="05922337" w14:textId="77777777" w:rsidR="00A06D1D" w:rsidRDefault="00A06D1D"/>
    <w:p w14:paraId="525D95E0" w14:textId="77777777" w:rsidR="00A06D1D" w:rsidRDefault="00A06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9FB4" w14:textId="2A9EA20B" w:rsidR="00B861B4" w:rsidRDefault="00057E37">
    <w:pPr>
      <w:pStyle w:val="Header"/>
    </w:pPr>
    <w:r>
      <w:rPr>
        <w:noProof/>
        <w:lang w:val="en-US"/>
      </w:rPr>
      <mc:AlternateContent>
        <mc:Choice Requires="wps">
          <w:drawing>
            <wp:anchor distT="0" distB="0" distL="0" distR="0" simplePos="0" relativeHeight="251649536" behindDoc="0" locked="0" layoutInCell="1" allowOverlap="1" wp14:anchorId="4C8D4260" wp14:editId="6238404E">
              <wp:simplePos x="635" y="635"/>
              <wp:positionH relativeFrom="page">
                <wp:align>center</wp:align>
              </wp:positionH>
              <wp:positionV relativeFrom="page">
                <wp:align>top</wp:align>
              </wp:positionV>
              <wp:extent cx="551815" cy="404495"/>
              <wp:effectExtent l="0" t="0" r="635" b="14605"/>
              <wp:wrapNone/>
              <wp:docPr id="1322131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ED263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D426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49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2ED263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DF9A" w14:textId="7D0ADC51" w:rsidR="00B861B4" w:rsidRDefault="00057E37">
    <w:pPr>
      <w:pStyle w:val="Header"/>
    </w:pPr>
    <w:r>
      <w:rPr>
        <w:noProof/>
        <w:lang w:val="en-US"/>
      </w:rPr>
      <mc:AlternateContent>
        <mc:Choice Requires="wps">
          <w:drawing>
            <wp:anchor distT="0" distB="0" distL="0" distR="0" simplePos="0" relativeHeight="251654656" behindDoc="0" locked="0" layoutInCell="1" allowOverlap="1" wp14:anchorId="7D1A8F8F" wp14:editId="7F025F20">
              <wp:simplePos x="901065" y="360680"/>
              <wp:positionH relativeFrom="page">
                <wp:align>center</wp:align>
              </wp:positionH>
              <wp:positionV relativeFrom="page">
                <wp:align>top</wp:align>
              </wp:positionV>
              <wp:extent cx="551815" cy="404495"/>
              <wp:effectExtent l="0" t="0" r="635" b="14605"/>
              <wp:wrapNone/>
              <wp:docPr id="9455770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866A2A"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1A8F8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C866A2A"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29455C">
      <w:t>IGAWLAE</w:t>
    </w:r>
    <w:r w:rsidR="00556795" w:rsidRPr="00556795">
      <w:t xml:space="preserve"> </w:t>
    </w:r>
    <w:r w:rsidR="0029455C">
      <w:t>a</w:t>
    </w:r>
    <w:r w:rsidR="00556795" w:rsidRPr="00556795">
      <w:rPr>
        <w:noProof/>
        <w:lang w:val="en-US"/>
      </w:rPr>
      <w:t>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BA27" w14:textId="406CD7C6" w:rsidR="00B861B4" w:rsidRDefault="00F3358F">
    <w:pPr>
      <w:pStyle w:val="Header"/>
      <w:jc w:val="left"/>
    </w:pPr>
    <w:r>
      <w:rPr>
        <w:noProof/>
        <w:lang w:val="en-US"/>
      </w:rPr>
      <w:drawing>
        <wp:anchor distT="0" distB="0" distL="114300" distR="114300" simplePos="0" relativeHeight="251675136" behindDoc="1" locked="0" layoutInCell="1" allowOverlap="1" wp14:anchorId="773E9C08" wp14:editId="37F4D4FF">
          <wp:simplePos x="0" y="0"/>
          <wp:positionH relativeFrom="column">
            <wp:posOffset>-891804</wp:posOffset>
          </wp:positionH>
          <wp:positionV relativeFrom="paragraph">
            <wp:posOffset>-368671</wp:posOffset>
          </wp:positionV>
          <wp:extent cx="7572932" cy="10712035"/>
          <wp:effectExtent l="0" t="0" r="9525" b="0"/>
          <wp:wrapNone/>
          <wp:docPr id="413829271" name="Picture 1" descr="Australian Government Inspector-General of Animal Welfare and Live Animal Expor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9271" name="Picture 1" descr="Australian Government Inspector-General of Animal Welfare and Live Animal Export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932" cy="10712035"/>
                  </a:xfrm>
                  <a:prstGeom prst="rect">
                    <a:avLst/>
                  </a:prstGeom>
                </pic:spPr>
              </pic:pic>
            </a:graphicData>
          </a:graphic>
          <wp14:sizeRelH relativeFrom="margin">
            <wp14:pctWidth>0</wp14:pctWidth>
          </wp14:sizeRelH>
          <wp14:sizeRelV relativeFrom="margin">
            <wp14:pctHeight>0</wp14:pctHeight>
          </wp14:sizeRelV>
        </wp:anchor>
      </w:drawing>
    </w:r>
    <w:r w:rsidR="00057E37">
      <w:rPr>
        <w:noProof/>
        <w:lang w:val="en-US"/>
      </w:rPr>
      <mc:AlternateContent>
        <mc:Choice Requires="wps">
          <w:drawing>
            <wp:anchor distT="0" distB="0" distL="0" distR="0" simplePos="0" relativeHeight="251644416" behindDoc="0" locked="0" layoutInCell="1" allowOverlap="1" wp14:anchorId="469C0F61" wp14:editId="6C06E6C9">
              <wp:simplePos x="899770" y="358445"/>
              <wp:positionH relativeFrom="page">
                <wp:align>center</wp:align>
              </wp:positionH>
              <wp:positionV relativeFrom="page">
                <wp:align>top</wp:align>
              </wp:positionV>
              <wp:extent cx="551815" cy="404495"/>
              <wp:effectExtent l="0" t="0" r="635" b="14605"/>
              <wp:wrapNone/>
              <wp:docPr id="442246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5AE40E"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9C0F6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44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E5AE40E"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A0F9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552FA5"/>
    <w:multiLevelType w:val="hybridMultilevel"/>
    <w:tmpl w:val="4926BAFE"/>
    <w:lvl w:ilvl="0" w:tplc="6B68E07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6800B4"/>
    <w:multiLevelType w:val="multilevel"/>
    <w:tmpl w:val="A0241B28"/>
    <w:numStyleLink w:val="List1"/>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741D1"/>
    <w:multiLevelType w:val="hybridMultilevel"/>
    <w:tmpl w:val="76BA49CA"/>
    <w:lvl w:ilvl="0" w:tplc="DE529A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743B4C"/>
    <w:multiLevelType w:val="hybridMultilevel"/>
    <w:tmpl w:val="F9A49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D2089"/>
    <w:multiLevelType w:val="hybridMultilevel"/>
    <w:tmpl w:val="B9463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2"/>
  </w:num>
  <w:num w:numId="2" w16cid:durableId="1639215797">
    <w:abstractNumId w:val="13"/>
  </w:num>
  <w:num w:numId="3" w16cid:durableId="1643265712">
    <w:abstractNumId w:val="4"/>
  </w:num>
  <w:num w:numId="4" w16cid:durableId="1568950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8"/>
  </w:num>
  <w:num w:numId="6" w16cid:durableId="281765065">
    <w:abstractNumId w:val="11"/>
  </w:num>
  <w:num w:numId="7" w16cid:durableId="2092000146">
    <w:abstractNumId w:val="7"/>
  </w:num>
  <w:num w:numId="8" w16cid:durableId="864908900">
    <w:abstractNumId w:val="4"/>
    <w:lvlOverride w:ilvl="0">
      <w:lvl w:ilvl="0">
        <w:start w:val="1"/>
        <w:numFmt w:val="decimal"/>
        <w:pStyle w:val="Heading2"/>
        <w:lvlText w:val="%1"/>
        <w:lvlJc w:val="left"/>
        <w:pPr>
          <w:ind w:left="720" w:hanging="720"/>
        </w:pPr>
        <w:rPr>
          <w:color w:val="auto"/>
        </w:rPr>
      </w:lvl>
    </w:lvlOverride>
  </w:num>
  <w:num w:numId="9" w16cid:durableId="1469322956">
    <w:abstractNumId w:val="12"/>
  </w:num>
  <w:num w:numId="10" w16cid:durableId="1341661948">
    <w:abstractNumId w:val="13"/>
  </w:num>
  <w:num w:numId="11" w16cid:durableId="1983389004">
    <w:abstractNumId w:val="2"/>
  </w:num>
  <w:num w:numId="12" w16cid:durableId="1510218002">
    <w:abstractNumId w:val="10"/>
  </w:num>
  <w:num w:numId="13" w16cid:durableId="2088572344">
    <w:abstractNumId w:val="5"/>
  </w:num>
  <w:num w:numId="14" w16cid:durableId="1721132150">
    <w:abstractNumId w:val="14"/>
  </w:num>
  <w:num w:numId="15" w16cid:durableId="1362634765">
    <w:abstractNumId w:val="16"/>
  </w:num>
  <w:num w:numId="16" w16cid:durableId="1180970162">
    <w:abstractNumId w:val="16"/>
  </w:num>
  <w:num w:numId="17" w16cid:durableId="1606646691">
    <w:abstractNumId w:val="16"/>
  </w:num>
  <w:num w:numId="18" w16cid:durableId="2013532180">
    <w:abstractNumId w:val="16"/>
  </w:num>
  <w:num w:numId="19" w16cid:durableId="1361395064">
    <w:abstractNumId w:val="15"/>
  </w:num>
  <w:num w:numId="20" w16cid:durableId="447628219">
    <w:abstractNumId w:val="0"/>
  </w:num>
  <w:num w:numId="21" w16cid:durableId="1863518738">
    <w:abstractNumId w:val="1"/>
  </w:num>
  <w:num w:numId="22" w16cid:durableId="537205904">
    <w:abstractNumId w:val="17"/>
  </w:num>
  <w:num w:numId="23" w16cid:durableId="1348480519">
    <w:abstractNumId w:val="18"/>
  </w:num>
  <w:num w:numId="24" w16cid:durableId="422382441">
    <w:abstractNumId w:val="9"/>
  </w:num>
  <w:num w:numId="25" w16cid:durableId="167988990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1D"/>
    <w:rsid w:val="0000088C"/>
    <w:rsid w:val="00002BEE"/>
    <w:rsid w:val="00002BEF"/>
    <w:rsid w:val="000032AD"/>
    <w:rsid w:val="00005AF7"/>
    <w:rsid w:val="00006D71"/>
    <w:rsid w:val="0001196B"/>
    <w:rsid w:val="00011FA2"/>
    <w:rsid w:val="000315AB"/>
    <w:rsid w:val="00040BA4"/>
    <w:rsid w:val="00051C97"/>
    <w:rsid w:val="00051CDD"/>
    <w:rsid w:val="00055345"/>
    <w:rsid w:val="00057E37"/>
    <w:rsid w:val="0006344D"/>
    <w:rsid w:val="00067704"/>
    <w:rsid w:val="00071927"/>
    <w:rsid w:val="00073A2B"/>
    <w:rsid w:val="00075A00"/>
    <w:rsid w:val="000812C8"/>
    <w:rsid w:val="00085743"/>
    <w:rsid w:val="000869AB"/>
    <w:rsid w:val="00086E01"/>
    <w:rsid w:val="000942EE"/>
    <w:rsid w:val="00097FA8"/>
    <w:rsid w:val="000A7AAF"/>
    <w:rsid w:val="000B2D1D"/>
    <w:rsid w:val="000B491E"/>
    <w:rsid w:val="000C3B07"/>
    <w:rsid w:val="000D32D4"/>
    <w:rsid w:val="000D3B21"/>
    <w:rsid w:val="000D6D74"/>
    <w:rsid w:val="000F6F00"/>
    <w:rsid w:val="00100B03"/>
    <w:rsid w:val="001013AD"/>
    <w:rsid w:val="00101E08"/>
    <w:rsid w:val="001020D6"/>
    <w:rsid w:val="001050DB"/>
    <w:rsid w:val="001116C3"/>
    <w:rsid w:val="001152E3"/>
    <w:rsid w:val="001155F6"/>
    <w:rsid w:val="00122945"/>
    <w:rsid w:val="00123995"/>
    <w:rsid w:val="001336BD"/>
    <w:rsid w:val="00135610"/>
    <w:rsid w:val="00145072"/>
    <w:rsid w:val="00145C25"/>
    <w:rsid w:val="0016201B"/>
    <w:rsid w:val="001641A3"/>
    <w:rsid w:val="001728AE"/>
    <w:rsid w:val="00176594"/>
    <w:rsid w:val="0017699C"/>
    <w:rsid w:val="00183F4F"/>
    <w:rsid w:val="00191115"/>
    <w:rsid w:val="001A25E7"/>
    <w:rsid w:val="001A4C06"/>
    <w:rsid w:val="001A7787"/>
    <w:rsid w:val="001B72D7"/>
    <w:rsid w:val="001B7F63"/>
    <w:rsid w:val="001C1865"/>
    <w:rsid w:val="001C22E8"/>
    <w:rsid w:val="001C603E"/>
    <w:rsid w:val="001C7105"/>
    <w:rsid w:val="001D0749"/>
    <w:rsid w:val="001D180F"/>
    <w:rsid w:val="001D2D18"/>
    <w:rsid w:val="001D5F68"/>
    <w:rsid w:val="001D7EA0"/>
    <w:rsid w:val="001E05EE"/>
    <w:rsid w:val="001E1FC5"/>
    <w:rsid w:val="001F2901"/>
    <w:rsid w:val="0020216A"/>
    <w:rsid w:val="00202E9F"/>
    <w:rsid w:val="002036CF"/>
    <w:rsid w:val="0021649B"/>
    <w:rsid w:val="00217505"/>
    <w:rsid w:val="00222137"/>
    <w:rsid w:val="0022580F"/>
    <w:rsid w:val="00232559"/>
    <w:rsid w:val="00237B7A"/>
    <w:rsid w:val="002447DB"/>
    <w:rsid w:val="00244DC9"/>
    <w:rsid w:val="00250200"/>
    <w:rsid w:val="0025352C"/>
    <w:rsid w:val="00263CB6"/>
    <w:rsid w:val="00266C5A"/>
    <w:rsid w:val="002674C1"/>
    <w:rsid w:val="00272BCA"/>
    <w:rsid w:val="00274920"/>
    <w:rsid w:val="00274FFC"/>
    <w:rsid w:val="00281BB6"/>
    <w:rsid w:val="00284C5A"/>
    <w:rsid w:val="00284D14"/>
    <w:rsid w:val="00286307"/>
    <w:rsid w:val="00287BD1"/>
    <w:rsid w:val="0029002C"/>
    <w:rsid w:val="0029455C"/>
    <w:rsid w:val="00295114"/>
    <w:rsid w:val="00295E47"/>
    <w:rsid w:val="002B7542"/>
    <w:rsid w:val="002C5275"/>
    <w:rsid w:val="002C790C"/>
    <w:rsid w:val="002D29FD"/>
    <w:rsid w:val="002D5B0A"/>
    <w:rsid w:val="002D67C2"/>
    <w:rsid w:val="002E6DD8"/>
    <w:rsid w:val="002F1457"/>
    <w:rsid w:val="002F1B8A"/>
    <w:rsid w:val="002F5514"/>
    <w:rsid w:val="002F6050"/>
    <w:rsid w:val="00301DF5"/>
    <w:rsid w:val="003024BD"/>
    <w:rsid w:val="00304AB4"/>
    <w:rsid w:val="00305B93"/>
    <w:rsid w:val="00313525"/>
    <w:rsid w:val="00315CBC"/>
    <w:rsid w:val="0031608C"/>
    <w:rsid w:val="00321193"/>
    <w:rsid w:val="003214B3"/>
    <w:rsid w:val="00324BD0"/>
    <w:rsid w:val="003317B9"/>
    <w:rsid w:val="00341111"/>
    <w:rsid w:val="00345219"/>
    <w:rsid w:val="00350062"/>
    <w:rsid w:val="00351792"/>
    <w:rsid w:val="003537AD"/>
    <w:rsid w:val="00354C6A"/>
    <w:rsid w:val="00356ABE"/>
    <w:rsid w:val="00360039"/>
    <w:rsid w:val="00364A4A"/>
    <w:rsid w:val="003654AC"/>
    <w:rsid w:val="0037073B"/>
    <w:rsid w:val="00373091"/>
    <w:rsid w:val="00374238"/>
    <w:rsid w:val="00383A43"/>
    <w:rsid w:val="00385B74"/>
    <w:rsid w:val="0038634B"/>
    <w:rsid w:val="00392957"/>
    <w:rsid w:val="00393C36"/>
    <w:rsid w:val="00395407"/>
    <w:rsid w:val="00395E24"/>
    <w:rsid w:val="00396FC7"/>
    <w:rsid w:val="003A0DFA"/>
    <w:rsid w:val="003A6F9D"/>
    <w:rsid w:val="003B0454"/>
    <w:rsid w:val="003B0FC7"/>
    <w:rsid w:val="003B1E29"/>
    <w:rsid w:val="003C156F"/>
    <w:rsid w:val="003C1FCE"/>
    <w:rsid w:val="003C3A49"/>
    <w:rsid w:val="003D06F9"/>
    <w:rsid w:val="003F22A3"/>
    <w:rsid w:val="003F58F8"/>
    <w:rsid w:val="00403AD4"/>
    <w:rsid w:val="004058CB"/>
    <w:rsid w:val="00410B27"/>
    <w:rsid w:val="004119A5"/>
    <w:rsid w:val="00412F79"/>
    <w:rsid w:val="004171F2"/>
    <w:rsid w:val="0042159D"/>
    <w:rsid w:val="0042182F"/>
    <w:rsid w:val="00423E95"/>
    <w:rsid w:val="00426538"/>
    <w:rsid w:val="00432172"/>
    <w:rsid w:val="00441BFD"/>
    <w:rsid w:val="00445B54"/>
    <w:rsid w:val="00446881"/>
    <w:rsid w:val="00451B82"/>
    <w:rsid w:val="0045279E"/>
    <w:rsid w:val="00453A53"/>
    <w:rsid w:val="00461957"/>
    <w:rsid w:val="004624F5"/>
    <w:rsid w:val="0046625C"/>
    <w:rsid w:val="00470C21"/>
    <w:rsid w:val="00472E49"/>
    <w:rsid w:val="00472E8A"/>
    <w:rsid w:val="0047440A"/>
    <w:rsid w:val="00476C9E"/>
    <w:rsid w:val="00483939"/>
    <w:rsid w:val="00484A85"/>
    <w:rsid w:val="00491419"/>
    <w:rsid w:val="00491E5F"/>
    <w:rsid w:val="00492017"/>
    <w:rsid w:val="00496D0B"/>
    <w:rsid w:val="004A0A6A"/>
    <w:rsid w:val="004A4945"/>
    <w:rsid w:val="004A775D"/>
    <w:rsid w:val="004B1D54"/>
    <w:rsid w:val="004B1DA1"/>
    <w:rsid w:val="004B2532"/>
    <w:rsid w:val="004B51E6"/>
    <w:rsid w:val="004B71A2"/>
    <w:rsid w:val="004C4E78"/>
    <w:rsid w:val="004D2E33"/>
    <w:rsid w:val="004E0F77"/>
    <w:rsid w:val="004F0D96"/>
    <w:rsid w:val="004F1CA7"/>
    <w:rsid w:val="004F2C8A"/>
    <w:rsid w:val="004F3F2A"/>
    <w:rsid w:val="00502FDC"/>
    <w:rsid w:val="005043EB"/>
    <w:rsid w:val="00511CC1"/>
    <w:rsid w:val="00517A68"/>
    <w:rsid w:val="00534C0B"/>
    <w:rsid w:val="00536170"/>
    <w:rsid w:val="00537181"/>
    <w:rsid w:val="005375B0"/>
    <w:rsid w:val="0054277C"/>
    <w:rsid w:val="005459F4"/>
    <w:rsid w:val="005518AD"/>
    <w:rsid w:val="00554229"/>
    <w:rsid w:val="00556795"/>
    <w:rsid w:val="00575EC8"/>
    <w:rsid w:val="00582E76"/>
    <w:rsid w:val="00582FE7"/>
    <w:rsid w:val="0059380F"/>
    <w:rsid w:val="005A124A"/>
    <w:rsid w:val="005A3249"/>
    <w:rsid w:val="005A7193"/>
    <w:rsid w:val="005A7DA8"/>
    <w:rsid w:val="005B0882"/>
    <w:rsid w:val="005B7B49"/>
    <w:rsid w:val="005C36F6"/>
    <w:rsid w:val="005C4980"/>
    <w:rsid w:val="005C4FF1"/>
    <w:rsid w:val="005D0A8E"/>
    <w:rsid w:val="005D3790"/>
    <w:rsid w:val="005D3D65"/>
    <w:rsid w:val="005E25BD"/>
    <w:rsid w:val="005E296F"/>
    <w:rsid w:val="005E70FC"/>
    <w:rsid w:val="005F038F"/>
    <w:rsid w:val="005F2724"/>
    <w:rsid w:val="00602CF1"/>
    <w:rsid w:val="00606F26"/>
    <w:rsid w:val="006078A8"/>
    <w:rsid w:val="00612BD9"/>
    <w:rsid w:val="006138D1"/>
    <w:rsid w:val="00624844"/>
    <w:rsid w:val="00625AEF"/>
    <w:rsid w:val="00630061"/>
    <w:rsid w:val="00635C53"/>
    <w:rsid w:val="00643C78"/>
    <w:rsid w:val="006440A9"/>
    <w:rsid w:val="00646763"/>
    <w:rsid w:val="00647603"/>
    <w:rsid w:val="00665164"/>
    <w:rsid w:val="006713A7"/>
    <w:rsid w:val="0067173F"/>
    <w:rsid w:val="00674FC0"/>
    <w:rsid w:val="0068060A"/>
    <w:rsid w:val="006807F3"/>
    <w:rsid w:val="00680970"/>
    <w:rsid w:val="006857E1"/>
    <w:rsid w:val="00685894"/>
    <w:rsid w:val="00692E99"/>
    <w:rsid w:val="006A2B3D"/>
    <w:rsid w:val="006A6E57"/>
    <w:rsid w:val="006B079C"/>
    <w:rsid w:val="006B0D03"/>
    <w:rsid w:val="006B1401"/>
    <w:rsid w:val="006B222A"/>
    <w:rsid w:val="006C16FF"/>
    <w:rsid w:val="006C261F"/>
    <w:rsid w:val="006C3B94"/>
    <w:rsid w:val="006C4070"/>
    <w:rsid w:val="006C4BC9"/>
    <w:rsid w:val="006C5145"/>
    <w:rsid w:val="006D2F00"/>
    <w:rsid w:val="006E5F06"/>
    <w:rsid w:val="006E6712"/>
    <w:rsid w:val="006F6474"/>
    <w:rsid w:val="00704184"/>
    <w:rsid w:val="00706B78"/>
    <w:rsid w:val="00707721"/>
    <w:rsid w:val="00715837"/>
    <w:rsid w:val="007169D6"/>
    <w:rsid w:val="00717B1D"/>
    <w:rsid w:val="00717C35"/>
    <w:rsid w:val="0072740C"/>
    <w:rsid w:val="00727D08"/>
    <w:rsid w:val="00747045"/>
    <w:rsid w:val="00754707"/>
    <w:rsid w:val="007610DC"/>
    <w:rsid w:val="00761D33"/>
    <w:rsid w:val="00761FCF"/>
    <w:rsid w:val="00764D6A"/>
    <w:rsid w:val="007665F0"/>
    <w:rsid w:val="007676CC"/>
    <w:rsid w:val="0077302C"/>
    <w:rsid w:val="00773056"/>
    <w:rsid w:val="007736B0"/>
    <w:rsid w:val="007813B8"/>
    <w:rsid w:val="00787CEC"/>
    <w:rsid w:val="00790AD1"/>
    <w:rsid w:val="00790E9F"/>
    <w:rsid w:val="00791816"/>
    <w:rsid w:val="00793975"/>
    <w:rsid w:val="007A3497"/>
    <w:rsid w:val="007A5D10"/>
    <w:rsid w:val="007B2597"/>
    <w:rsid w:val="007B62E9"/>
    <w:rsid w:val="007B66C4"/>
    <w:rsid w:val="007B676D"/>
    <w:rsid w:val="007B7E13"/>
    <w:rsid w:val="007C0277"/>
    <w:rsid w:val="007C10AB"/>
    <w:rsid w:val="007C358A"/>
    <w:rsid w:val="007D11F3"/>
    <w:rsid w:val="007D6B30"/>
    <w:rsid w:val="007E2BC6"/>
    <w:rsid w:val="007E3631"/>
    <w:rsid w:val="007E39EF"/>
    <w:rsid w:val="007F0CD9"/>
    <w:rsid w:val="007F410F"/>
    <w:rsid w:val="00800FE1"/>
    <w:rsid w:val="00812290"/>
    <w:rsid w:val="00820F04"/>
    <w:rsid w:val="0082150F"/>
    <w:rsid w:val="0082521E"/>
    <w:rsid w:val="00830297"/>
    <w:rsid w:val="00831DED"/>
    <w:rsid w:val="0084011B"/>
    <w:rsid w:val="00846B73"/>
    <w:rsid w:val="00850AD9"/>
    <w:rsid w:val="00860634"/>
    <w:rsid w:val="00863135"/>
    <w:rsid w:val="0086583E"/>
    <w:rsid w:val="00871913"/>
    <w:rsid w:val="00872E43"/>
    <w:rsid w:val="00874FFF"/>
    <w:rsid w:val="008848CA"/>
    <w:rsid w:val="00892CC1"/>
    <w:rsid w:val="00897B06"/>
    <w:rsid w:val="00897E1F"/>
    <w:rsid w:val="008A0EE3"/>
    <w:rsid w:val="008A17B6"/>
    <w:rsid w:val="008A6001"/>
    <w:rsid w:val="008B14E1"/>
    <w:rsid w:val="008B7ACE"/>
    <w:rsid w:val="008C284D"/>
    <w:rsid w:val="008C584E"/>
    <w:rsid w:val="008D619B"/>
    <w:rsid w:val="008E112C"/>
    <w:rsid w:val="008F493E"/>
    <w:rsid w:val="009020C3"/>
    <w:rsid w:val="009049AA"/>
    <w:rsid w:val="009102BC"/>
    <w:rsid w:val="00912FD5"/>
    <w:rsid w:val="009200BD"/>
    <w:rsid w:val="0092212E"/>
    <w:rsid w:val="00923CC9"/>
    <w:rsid w:val="0092619A"/>
    <w:rsid w:val="00926ACE"/>
    <w:rsid w:val="00933164"/>
    <w:rsid w:val="009407D8"/>
    <w:rsid w:val="00940857"/>
    <w:rsid w:val="009409B3"/>
    <w:rsid w:val="00942704"/>
    <w:rsid w:val="00944559"/>
    <w:rsid w:val="00944C53"/>
    <w:rsid w:val="00951004"/>
    <w:rsid w:val="00952D68"/>
    <w:rsid w:val="00953AE4"/>
    <w:rsid w:val="00953AFD"/>
    <w:rsid w:val="00954E9A"/>
    <w:rsid w:val="00954F4E"/>
    <w:rsid w:val="00984F6B"/>
    <w:rsid w:val="009933B3"/>
    <w:rsid w:val="009952DA"/>
    <w:rsid w:val="00997CFF"/>
    <w:rsid w:val="009A0DFF"/>
    <w:rsid w:val="009A1E8D"/>
    <w:rsid w:val="009B3448"/>
    <w:rsid w:val="009B7427"/>
    <w:rsid w:val="009B774A"/>
    <w:rsid w:val="009B790D"/>
    <w:rsid w:val="009C0B6E"/>
    <w:rsid w:val="009C20D5"/>
    <w:rsid w:val="009D5007"/>
    <w:rsid w:val="009D64CC"/>
    <w:rsid w:val="009E030A"/>
    <w:rsid w:val="009E2823"/>
    <w:rsid w:val="009E3746"/>
    <w:rsid w:val="009F2AA0"/>
    <w:rsid w:val="009F37BE"/>
    <w:rsid w:val="009F55DB"/>
    <w:rsid w:val="00A020E0"/>
    <w:rsid w:val="00A06D1D"/>
    <w:rsid w:val="00A07940"/>
    <w:rsid w:val="00A13AFB"/>
    <w:rsid w:val="00A1558A"/>
    <w:rsid w:val="00A159A0"/>
    <w:rsid w:val="00A22291"/>
    <w:rsid w:val="00A231D1"/>
    <w:rsid w:val="00A25D80"/>
    <w:rsid w:val="00A306C3"/>
    <w:rsid w:val="00A3501E"/>
    <w:rsid w:val="00A411A8"/>
    <w:rsid w:val="00A50EBC"/>
    <w:rsid w:val="00A51782"/>
    <w:rsid w:val="00A65E4F"/>
    <w:rsid w:val="00A75C16"/>
    <w:rsid w:val="00A76EE7"/>
    <w:rsid w:val="00A84096"/>
    <w:rsid w:val="00A91307"/>
    <w:rsid w:val="00AA1D58"/>
    <w:rsid w:val="00AA3527"/>
    <w:rsid w:val="00AB09CB"/>
    <w:rsid w:val="00AB665C"/>
    <w:rsid w:val="00AB7911"/>
    <w:rsid w:val="00AC25AA"/>
    <w:rsid w:val="00AC35F5"/>
    <w:rsid w:val="00AC560F"/>
    <w:rsid w:val="00AC5C4A"/>
    <w:rsid w:val="00AC5E92"/>
    <w:rsid w:val="00AD3342"/>
    <w:rsid w:val="00AE4237"/>
    <w:rsid w:val="00AE54C8"/>
    <w:rsid w:val="00AF23EE"/>
    <w:rsid w:val="00AF7FE0"/>
    <w:rsid w:val="00B02B9B"/>
    <w:rsid w:val="00B0375D"/>
    <w:rsid w:val="00B07D47"/>
    <w:rsid w:val="00B14B2D"/>
    <w:rsid w:val="00B17F41"/>
    <w:rsid w:val="00B2134D"/>
    <w:rsid w:val="00B2189D"/>
    <w:rsid w:val="00B23EC2"/>
    <w:rsid w:val="00B2557D"/>
    <w:rsid w:val="00B332F8"/>
    <w:rsid w:val="00B353F5"/>
    <w:rsid w:val="00B416E2"/>
    <w:rsid w:val="00B539A8"/>
    <w:rsid w:val="00B5740E"/>
    <w:rsid w:val="00B63B5D"/>
    <w:rsid w:val="00B72EA3"/>
    <w:rsid w:val="00B7438B"/>
    <w:rsid w:val="00B84485"/>
    <w:rsid w:val="00B861B4"/>
    <w:rsid w:val="00B916D0"/>
    <w:rsid w:val="00B976A5"/>
    <w:rsid w:val="00B97E61"/>
    <w:rsid w:val="00BA708C"/>
    <w:rsid w:val="00BB2478"/>
    <w:rsid w:val="00BB24B1"/>
    <w:rsid w:val="00BB5272"/>
    <w:rsid w:val="00BC1616"/>
    <w:rsid w:val="00BC404B"/>
    <w:rsid w:val="00BD671A"/>
    <w:rsid w:val="00BE361F"/>
    <w:rsid w:val="00BE561A"/>
    <w:rsid w:val="00BF2024"/>
    <w:rsid w:val="00BF4E55"/>
    <w:rsid w:val="00C003C5"/>
    <w:rsid w:val="00C02519"/>
    <w:rsid w:val="00C1105E"/>
    <w:rsid w:val="00C12ACE"/>
    <w:rsid w:val="00C13FE6"/>
    <w:rsid w:val="00C33358"/>
    <w:rsid w:val="00C33606"/>
    <w:rsid w:val="00C416EC"/>
    <w:rsid w:val="00C42485"/>
    <w:rsid w:val="00C44285"/>
    <w:rsid w:val="00C5288C"/>
    <w:rsid w:val="00C53487"/>
    <w:rsid w:val="00C625BF"/>
    <w:rsid w:val="00C645DF"/>
    <w:rsid w:val="00C756D5"/>
    <w:rsid w:val="00C83D62"/>
    <w:rsid w:val="00C84903"/>
    <w:rsid w:val="00C84DF9"/>
    <w:rsid w:val="00C8551A"/>
    <w:rsid w:val="00C85C62"/>
    <w:rsid w:val="00C90627"/>
    <w:rsid w:val="00C93974"/>
    <w:rsid w:val="00C94B8E"/>
    <w:rsid w:val="00CB419F"/>
    <w:rsid w:val="00CB744C"/>
    <w:rsid w:val="00CC74B9"/>
    <w:rsid w:val="00CD30A8"/>
    <w:rsid w:val="00CD38DF"/>
    <w:rsid w:val="00CD3BCC"/>
    <w:rsid w:val="00CE5EB5"/>
    <w:rsid w:val="00CF4F5E"/>
    <w:rsid w:val="00D07F7D"/>
    <w:rsid w:val="00D1032B"/>
    <w:rsid w:val="00D13B61"/>
    <w:rsid w:val="00D15833"/>
    <w:rsid w:val="00D25B45"/>
    <w:rsid w:val="00D361B6"/>
    <w:rsid w:val="00D41CC5"/>
    <w:rsid w:val="00D44013"/>
    <w:rsid w:val="00D44C04"/>
    <w:rsid w:val="00D47121"/>
    <w:rsid w:val="00D57D67"/>
    <w:rsid w:val="00D6561B"/>
    <w:rsid w:val="00D65CD1"/>
    <w:rsid w:val="00D6626A"/>
    <w:rsid w:val="00D67425"/>
    <w:rsid w:val="00D67E74"/>
    <w:rsid w:val="00D71BA7"/>
    <w:rsid w:val="00D9034C"/>
    <w:rsid w:val="00D94C99"/>
    <w:rsid w:val="00D97303"/>
    <w:rsid w:val="00DA1F76"/>
    <w:rsid w:val="00DA59ED"/>
    <w:rsid w:val="00DA6150"/>
    <w:rsid w:val="00DA71B8"/>
    <w:rsid w:val="00DB31EB"/>
    <w:rsid w:val="00DB71A3"/>
    <w:rsid w:val="00DC0063"/>
    <w:rsid w:val="00DC41DE"/>
    <w:rsid w:val="00DC55BE"/>
    <w:rsid w:val="00DC7AA9"/>
    <w:rsid w:val="00DD0422"/>
    <w:rsid w:val="00DD38D4"/>
    <w:rsid w:val="00DD6ACE"/>
    <w:rsid w:val="00DE0AAE"/>
    <w:rsid w:val="00DE7E04"/>
    <w:rsid w:val="00E11AC7"/>
    <w:rsid w:val="00E20810"/>
    <w:rsid w:val="00E223F4"/>
    <w:rsid w:val="00E250B0"/>
    <w:rsid w:val="00E36CE0"/>
    <w:rsid w:val="00E416A7"/>
    <w:rsid w:val="00E4490A"/>
    <w:rsid w:val="00E45CAE"/>
    <w:rsid w:val="00E60D68"/>
    <w:rsid w:val="00E70CA4"/>
    <w:rsid w:val="00E76DDB"/>
    <w:rsid w:val="00E80C06"/>
    <w:rsid w:val="00E87CEC"/>
    <w:rsid w:val="00E91D72"/>
    <w:rsid w:val="00E93337"/>
    <w:rsid w:val="00E97F13"/>
    <w:rsid w:val="00EA1202"/>
    <w:rsid w:val="00EA3590"/>
    <w:rsid w:val="00EA6043"/>
    <w:rsid w:val="00EB35F5"/>
    <w:rsid w:val="00EB598A"/>
    <w:rsid w:val="00EB6E82"/>
    <w:rsid w:val="00EC40D3"/>
    <w:rsid w:val="00EC706D"/>
    <w:rsid w:val="00EC73B0"/>
    <w:rsid w:val="00EE2CC9"/>
    <w:rsid w:val="00EE4833"/>
    <w:rsid w:val="00EF55CC"/>
    <w:rsid w:val="00F01D00"/>
    <w:rsid w:val="00F02EAA"/>
    <w:rsid w:val="00F04729"/>
    <w:rsid w:val="00F20619"/>
    <w:rsid w:val="00F21D81"/>
    <w:rsid w:val="00F22F8F"/>
    <w:rsid w:val="00F3219E"/>
    <w:rsid w:val="00F333E9"/>
    <w:rsid w:val="00F3358F"/>
    <w:rsid w:val="00F343D1"/>
    <w:rsid w:val="00F41994"/>
    <w:rsid w:val="00F475D3"/>
    <w:rsid w:val="00F5304F"/>
    <w:rsid w:val="00F560AE"/>
    <w:rsid w:val="00F62A97"/>
    <w:rsid w:val="00F672D4"/>
    <w:rsid w:val="00F72FD7"/>
    <w:rsid w:val="00F73AEB"/>
    <w:rsid w:val="00F77EA1"/>
    <w:rsid w:val="00F82F27"/>
    <w:rsid w:val="00F837C4"/>
    <w:rsid w:val="00FA0B2E"/>
    <w:rsid w:val="00FA2743"/>
    <w:rsid w:val="00FB16BD"/>
    <w:rsid w:val="00FB4DE1"/>
    <w:rsid w:val="00FC1759"/>
    <w:rsid w:val="00FD4499"/>
    <w:rsid w:val="00FD652D"/>
    <w:rsid w:val="00FE274C"/>
    <w:rsid w:val="00FE64BC"/>
    <w:rsid w:val="00FF2FB9"/>
    <w:rsid w:val="00FF4C50"/>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B3C6"/>
  <w15:docId w15:val="{FAD8DE3D-D64F-4393-AEAF-BE25483D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A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3358F"/>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57E37"/>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57E37"/>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57E37"/>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057E37"/>
    <w:pPr>
      <w:keepNext/>
      <w:keepLines/>
      <w:spacing w:before="40" w:after="0"/>
      <w:outlineLvl w:val="5"/>
    </w:pPr>
    <w:rPr>
      <w:rFonts w:ascii="Calibri" w:eastAsiaTheme="majorEastAsia" w:hAnsi="Calibri" w:cstheme="majorBidi"/>
      <w:b/>
      <w:i/>
      <w:color w:val="000000" w:themeColor="text1"/>
      <w:sz w:val="24"/>
    </w:rPr>
  </w:style>
  <w:style w:type="paragraph" w:styleId="Heading7">
    <w:name w:val="heading 7"/>
    <w:basedOn w:val="Normal"/>
    <w:next w:val="Normal"/>
    <w:link w:val="Heading7Char"/>
    <w:uiPriority w:val="9"/>
    <w:semiHidden/>
    <w:qFormat/>
    <w:rsid w:val="00057E37"/>
    <w:pPr>
      <w:keepNext/>
      <w:keepLines/>
      <w:spacing w:before="40"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057E37"/>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3F22A3"/>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3F22A3"/>
    <w:rPr>
      <w:rFonts w:ascii="Calibri" w:eastAsiaTheme="minorHAnsi" w:hAnsi="Calibri" w:cstheme="minorBidi"/>
      <w:szCs w:val="22"/>
      <w:lang w:eastAsia="en-US"/>
    </w:rPr>
  </w:style>
  <w:style w:type="paragraph" w:styleId="Footer">
    <w:name w:val="footer"/>
    <w:basedOn w:val="Normal"/>
    <w:link w:val="FooterChar"/>
    <w:uiPriority w:val="27"/>
    <w:rsid w:val="003F22A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3F22A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F3358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57E37"/>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57E37"/>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57E37"/>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9"/>
      </w:numPr>
      <w:spacing w:before="120" w:after="120"/>
      <w:ind w:left="908" w:hanging="454"/>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A1558A"/>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997CFF"/>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B1DA1"/>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997CFF"/>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57E37"/>
    <w:rPr>
      <w:rFonts w:ascii="Calibri" w:eastAsiaTheme="majorEastAsia" w:hAnsi="Calibri" w:cstheme="majorBidi"/>
      <w:b/>
      <w:i/>
      <w:color w:val="000000" w:themeColor="text1"/>
      <w:sz w:val="24"/>
      <w:szCs w:val="22"/>
      <w:lang w:eastAsia="en-US"/>
    </w:rPr>
  </w:style>
  <w:style w:type="paragraph" w:customStyle="1" w:styleId="TableListNumber2">
    <w:name w:val="Table List Number 2"/>
    <w:basedOn w:val="TableText"/>
    <w:qFormat/>
    <w:rsid w:val="00C1105E"/>
    <w:pPr>
      <w:numPr>
        <w:ilvl w:val="1"/>
        <w:numId w:val="18"/>
      </w:numPr>
    </w:pPr>
  </w:style>
  <w:style w:type="paragraph" w:customStyle="1" w:styleId="TableListNumber3">
    <w:name w:val="Table List Number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character" w:customStyle="1" w:styleId="Heading7Char">
    <w:name w:val="Heading 7 Char"/>
    <w:basedOn w:val="DefaultParagraphFont"/>
    <w:link w:val="Heading7"/>
    <w:uiPriority w:val="9"/>
    <w:semiHidden/>
    <w:rsid w:val="00057E37"/>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057E37"/>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BE361F"/>
    <w:pPr>
      <w:numPr>
        <w:numId w:val="21"/>
      </w:numPr>
    </w:pPr>
  </w:style>
  <w:style w:type="paragraph" w:styleId="Revision">
    <w:name w:val="Revision"/>
    <w:hidden/>
    <w:uiPriority w:val="99"/>
    <w:semiHidden/>
    <w:rsid w:val="009952DA"/>
    <w:rPr>
      <w:rFonts w:asciiTheme="minorHAnsi" w:eastAsiaTheme="minorHAnsi" w:hAnsiTheme="minorHAnsi" w:cstheme="minorBidi"/>
      <w:sz w:val="22"/>
      <w:szCs w:val="22"/>
      <w:lang w:eastAsia="en-US"/>
    </w:rPr>
  </w:style>
  <w:style w:type="table" w:styleId="ListTable3">
    <w:name w:val="List Table 3"/>
    <w:basedOn w:val="TableNormal"/>
    <w:uiPriority w:val="48"/>
    <w:rsid w:val="002951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602010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87351">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5460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awlae.gov.au/annual-reports" TargetMode="External"/><Relationship Id="rId18" Type="http://schemas.openxmlformats.org/officeDocument/2006/relationships/hyperlink" Target="https://www.igawlae.gov.au/work-program" TargetMode="External"/><Relationship Id="rId26" Type="http://schemas.openxmlformats.org/officeDocument/2006/relationships/hyperlink" Target="https://www.igawlae.gov.au/work-pla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image" Target="media/image5.jpe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2.xml"/><Relationship Id="rId29" Type="http://schemas.openxmlformats.org/officeDocument/2006/relationships/hyperlink" Target="https://www.agriculture.gov.au/sites/default/files/sitecollectiondocuments/export/moss-re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yperlink" Target="mailto:IGAWLAE@aff.gov.au"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footer" Target="footer2.xml"/><Relationship Id="rId27" Type="http://schemas.openxmlformats.org/officeDocument/2006/relationships/image" Target="media/image6.png"/><Relationship Id="rId30" Type="http://schemas.openxmlformats.org/officeDocument/2006/relationships/hyperlink" Target="https://www.igawlae.gov.au/work-pl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25a908-4027-4855-8349-5ded11f047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95ACDB6A7C64EBDEA104A0D20CAC2" ma:contentTypeVersion="15" ma:contentTypeDescription="Create a new document." ma:contentTypeScope="" ma:versionID="2f6e42d80d0068452c3eaa68a57cfd73">
  <xsd:schema xmlns:xsd="http://www.w3.org/2001/XMLSchema" xmlns:xs="http://www.w3.org/2001/XMLSchema" xmlns:p="http://schemas.microsoft.com/office/2006/metadata/properties" xmlns:ns3="bb25a908-4027-4855-8349-5ded11f04771" xmlns:ns4="7e8a5494-af58-4b05-a6a5-bb9d03d4989e" targetNamespace="http://schemas.microsoft.com/office/2006/metadata/properties" ma:root="true" ma:fieldsID="51a5c6bc6c42d892f17948c0114e0a80" ns3:_="" ns4:_="">
    <xsd:import namespace="bb25a908-4027-4855-8349-5ded11f04771"/>
    <xsd:import namespace="7e8a5494-af58-4b05-a6a5-bb9d03d4989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a908-4027-4855-8349-5ded11f04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a5494-af58-4b05-a6a5-bb9d03d498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dcmitype/"/>
    <ds:schemaRef ds:uri="http://purl.org/dc/elements/1.1/"/>
    <ds:schemaRef ds:uri="http://schemas.openxmlformats.org/package/2006/metadata/core-properties"/>
    <ds:schemaRef ds:uri="http://schemas.microsoft.com/office/2006/documentManagement/types"/>
    <ds:schemaRef ds:uri="bb25a908-4027-4855-8349-5ded11f04771"/>
    <ds:schemaRef ds:uri="http://purl.org/dc/terms/"/>
    <ds:schemaRef ds:uri="http://schemas.microsoft.com/office/2006/metadata/properties"/>
    <ds:schemaRef ds:uri="http://schemas.microsoft.com/office/infopath/2007/PartnerControls"/>
    <ds:schemaRef ds:uri="7e8a5494-af58-4b05-a6a5-bb9d03d4989e"/>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881D077-03FB-4604-86A0-A536477C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a908-4027-4855-8349-5ded11f04771"/>
    <ds:schemaRef ds:uri="7e8a5494-af58-4b05-a6a5-bb9d03d49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4161</Words>
  <Characters>23719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Annual report 2024–25</vt:lpstr>
    </vt:vector>
  </TitlesOfParts>
  <Company/>
  <LinksUpToDate>false</LinksUpToDate>
  <CharactersWithSpaces>27825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2024–25</dc:title>
  <dc:creator>Inspector-General of Animal Welfare and Live Animal Exports</dc:creator>
  <cp:lastModifiedBy>McMellon, Glenn</cp:lastModifiedBy>
  <cp:revision>33</cp:revision>
  <cp:lastPrinted>2022-11-17T23:20:00Z</cp:lastPrinted>
  <dcterms:created xsi:type="dcterms:W3CDTF">2025-08-13T05:04:00Z</dcterms:created>
  <dcterms:modified xsi:type="dcterms:W3CDTF">2025-08-26T06:11:00Z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0x010100AEC95ACDB6A7C64EBDEA104A0D20CAC2</vt:lpwstr>
  </property>
  <property fmtid="{D5CDD505-2E9C-101B-9397-08002B2CF9AE}" pid="3" name="ClassificationContentMarkingHeaderShapeIds">
    <vt:lpwstr>7c45417f,34ae65c4,1a5c24cc,4ece2170,385c5c59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6bf0d454,54e7a9b7,6751b498,7308b4c6,cb3873a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2024-07-12T06:01:47Z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e74c9178-68c6-4a47-9773-e2c06ec2c86e</vt:lpwstr>
  </property>
  <property fmtid="{D5CDD505-2E9C-101B-9397-08002B2CF9AE}" pid="15" name="MSIP_Label_933d8be6-3c40-4052-87a2-9c2adcba8759_ContentBits">
    <vt:lpwstr>3</vt:lpwstr>
  </property>
</Properties>
</file>